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z w:val="32"/>
        </w:rPr>
      </w:pPr>
      <w:r>
        <w:rPr>
          <w:rFonts w:hint="eastAsia" w:ascii="黑体" w:hAnsi="黑体" w:eastAsia="黑体" w:cs="黑体"/>
          <w:color w:val="000000"/>
          <w:sz w:val="32"/>
        </w:rPr>
        <w:t>附件2</w:t>
      </w:r>
    </w:p>
    <w:p>
      <w:pPr>
        <w:spacing w:line="560" w:lineRule="exact"/>
        <w:jc w:val="center"/>
        <w:rPr>
          <w:rFonts w:hint="eastAsia"/>
          <w:b/>
          <w:bCs/>
          <w:sz w:val="40"/>
          <w:szCs w:val="40"/>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“我要上全运”北京市广场舞选拔赛</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竞赛规程</w:t>
      </w:r>
    </w:p>
    <w:p>
      <w:pPr>
        <w:spacing w:line="560" w:lineRule="exact"/>
        <w:rPr>
          <w:rFonts w:hint="eastAsia"/>
          <w:b/>
          <w:bCs/>
          <w:sz w:val="40"/>
          <w:szCs w:val="40"/>
        </w:rPr>
      </w:pP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一、比赛名称</w:t>
      </w:r>
    </w:p>
    <w:p>
      <w:pPr>
        <w:pStyle w:val="4"/>
        <w:autoSpaceDE w:val="0"/>
        <w:autoSpaceDN w:val="0"/>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Times New Roman" w:eastAsia="仿宋_GB2312"/>
          <w:color w:val="000000"/>
          <w:sz w:val="32"/>
          <w:szCs w:val="32"/>
          <w:lang w:val="zh-CN"/>
        </w:rPr>
        <w:t>“我要上全运”北京市广场舞选拔赛</w:t>
      </w:r>
    </w:p>
    <w:p>
      <w:pPr>
        <w:pStyle w:val="4"/>
        <w:autoSpaceDE w:val="0"/>
        <w:autoSpaceDN w:val="0"/>
        <w:spacing w:line="560" w:lineRule="exact"/>
        <w:ind w:left="640"/>
        <w:rPr>
          <w:rFonts w:hint="eastAsia" w:ascii="黑体" w:hAnsi="黑体" w:eastAsia="黑体" w:cs="黑体"/>
          <w:sz w:val="32"/>
          <w:szCs w:val="32"/>
        </w:rPr>
      </w:pPr>
      <w:r>
        <w:rPr>
          <w:rFonts w:hint="eastAsia" w:ascii="黑体" w:hAnsi="黑体" w:eastAsia="黑体" w:cs="黑体"/>
          <w:sz w:val="32"/>
          <w:szCs w:val="32"/>
        </w:rPr>
        <w:t>二、比赛时间</w:t>
      </w:r>
    </w:p>
    <w:p>
      <w:pPr>
        <w:pStyle w:val="4"/>
        <w:autoSpaceDE w:val="0"/>
        <w:autoSpaceDN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2021年7月12日</w:t>
      </w:r>
    </w:p>
    <w:p>
      <w:pPr>
        <w:pStyle w:val="4"/>
        <w:autoSpaceDE w:val="0"/>
        <w:autoSpaceDN w:val="0"/>
        <w:spacing w:line="560" w:lineRule="exact"/>
        <w:ind w:left="640"/>
        <w:rPr>
          <w:rFonts w:hint="eastAsia" w:ascii="黑体" w:hAnsi="黑体" w:eastAsia="黑体" w:cs="黑体"/>
          <w:sz w:val="32"/>
          <w:szCs w:val="32"/>
        </w:rPr>
      </w:pPr>
      <w:r>
        <w:rPr>
          <w:rFonts w:hint="eastAsia" w:ascii="黑体" w:hAnsi="黑体" w:eastAsia="黑体" w:cs="黑体"/>
          <w:sz w:val="32"/>
          <w:szCs w:val="32"/>
        </w:rPr>
        <w:t>三、主办单位</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北京市体育局</w:t>
      </w:r>
    </w:p>
    <w:p>
      <w:pPr>
        <w:spacing w:line="560" w:lineRule="exact"/>
        <w:ind w:left="640"/>
        <w:rPr>
          <w:rFonts w:hint="eastAsia" w:ascii="黑体" w:hAnsi="黑体" w:eastAsia="黑体" w:cs="黑体"/>
          <w:sz w:val="32"/>
          <w:szCs w:val="32"/>
          <w:lang w:val="zh-CN"/>
        </w:rPr>
      </w:pPr>
      <w:r>
        <w:rPr>
          <w:rFonts w:hint="eastAsia" w:ascii="黑体" w:hAnsi="黑体" w:eastAsia="黑体" w:cs="黑体"/>
          <w:sz w:val="32"/>
          <w:szCs w:val="32"/>
          <w:lang w:val="zh-CN"/>
        </w:rPr>
        <w:t>四、承办单位</w:t>
      </w:r>
    </w:p>
    <w:p>
      <w:pPr>
        <w:spacing w:line="560" w:lineRule="exact"/>
        <w:ind w:firstLine="640" w:firstLineChars="20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北京市社会体育管理中心</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中共北京市委市直机关工委工会</w:t>
      </w:r>
    </w:p>
    <w:p>
      <w:pPr>
        <w:pStyle w:val="4"/>
        <w:autoSpaceDE w:val="0"/>
        <w:autoSpaceDN w:val="0"/>
        <w:spacing w:line="560" w:lineRule="exact"/>
        <w:ind w:left="640"/>
        <w:rPr>
          <w:rFonts w:hint="eastAsia" w:ascii="黑体" w:hAnsi="黑体" w:eastAsia="黑体" w:cs="黑体"/>
          <w:sz w:val="32"/>
          <w:szCs w:val="32"/>
        </w:rPr>
      </w:pPr>
      <w:r>
        <w:rPr>
          <w:rFonts w:hint="eastAsia" w:ascii="黑体" w:hAnsi="黑体" w:eastAsia="黑体" w:cs="黑体"/>
          <w:sz w:val="32"/>
          <w:szCs w:val="32"/>
        </w:rPr>
        <w:t>五、协办单位</w:t>
      </w:r>
    </w:p>
    <w:p>
      <w:pPr>
        <w:spacing w:line="560" w:lineRule="exact"/>
        <w:ind w:left="640"/>
        <w:rPr>
          <w:rFonts w:hint="eastAsia" w:ascii="仿宋_GB2312" w:eastAsia="仿宋_GB2312"/>
          <w:color w:val="000000"/>
          <w:sz w:val="32"/>
          <w:szCs w:val="32"/>
          <w:lang w:val="zh-CN"/>
        </w:rPr>
      </w:pPr>
      <w:r>
        <w:rPr>
          <w:rFonts w:hint="eastAsia" w:ascii="仿宋_GB2312" w:eastAsia="仿宋_GB2312"/>
          <w:color w:val="000000"/>
          <w:sz w:val="32"/>
          <w:szCs w:val="32"/>
          <w:lang w:val="zh-CN"/>
        </w:rPr>
        <w:t>北京市社会体育指导员协会</w:t>
      </w:r>
    </w:p>
    <w:p>
      <w:pPr>
        <w:pStyle w:val="4"/>
        <w:autoSpaceDE w:val="0"/>
        <w:autoSpaceDN w:val="0"/>
        <w:spacing w:line="560" w:lineRule="exact"/>
        <w:ind w:left="640"/>
        <w:rPr>
          <w:rFonts w:hint="eastAsia" w:ascii="黑体" w:hAnsi="黑体" w:eastAsia="黑体" w:cs="黑体"/>
          <w:sz w:val="32"/>
          <w:szCs w:val="32"/>
        </w:rPr>
      </w:pPr>
      <w:r>
        <w:rPr>
          <w:rFonts w:hint="eastAsia" w:ascii="黑体" w:hAnsi="黑体" w:eastAsia="黑体" w:cs="黑体"/>
          <w:sz w:val="32"/>
          <w:szCs w:val="32"/>
        </w:rPr>
        <w:t>六、比赛组别</w:t>
      </w:r>
    </w:p>
    <w:p>
      <w:pPr>
        <w:pStyle w:val="5"/>
        <w:spacing w:line="520" w:lineRule="exact"/>
        <w:rPr>
          <w:rFonts w:hint="eastAsia" w:hAnsi="仿宋_GB2312" w:cs="仿宋_GB2312"/>
          <w:color w:val="000000"/>
          <w:szCs w:val="32"/>
        </w:rPr>
      </w:pPr>
      <w:r>
        <w:rPr>
          <w:rFonts w:hint="eastAsia" w:hAnsi="仿宋_GB2312" w:cs="仿宋_GB2312"/>
          <w:color w:val="000000"/>
          <w:szCs w:val="32"/>
        </w:rPr>
        <w:t>（一）广场舞项目共设3个分项，每分项设3个组别，共9个小项。</w:t>
      </w:r>
    </w:p>
    <w:p>
      <w:pPr>
        <w:pStyle w:val="5"/>
        <w:spacing w:line="520" w:lineRule="exact"/>
        <w:rPr>
          <w:rFonts w:hint="eastAsia" w:hAnsi="仿宋_GB2312" w:cs="仿宋_GB2312"/>
          <w:color w:val="000000"/>
          <w:szCs w:val="32"/>
        </w:rPr>
      </w:pPr>
      <w:r>
        <w:rPr>
          <w:rFonts w:hint="eastAsia" w:hAnsi="仿宋_GB2312" w:cs="仿宋_GB2312"/>
          <w:color w:val="000000"/>
          <w:szCs w:val="32"/>
        </w:rPr>
        <w:t>健身舞自选套路：城市街道（社区）组、农村乡镇组、企事业单位组。</w:t>
      </w:r>
    </w:p>
    <w:p>
      <w:pPr>
        <w:pStyle w:val="5"/>
        <w:spacing w:line="520" w:lineRule="exact"/>
        <w:rPr>
          <w:rFonts w:hint="eastAsia" w:hAnsi="仿宋_GB2312" w:cs="仿宋_GB2312"/>
          <w:color w:val="000000"/>
          <w:szCs w:val="32"/>
        </w:rPr>
      </w:pPr>
      <w:r>
        <w:rPr>
          <w:rFonts w:hint="eastAsia" w:hAnsi="仿宋_GB2312" w:cs="仿宋_GB2312"/>
          <w:color w:val="000000"/>
          <w:szCs w:val="32"/>
        </w:rPr>
        <w:t>健身秧歌（鼓）自选套路：城市街道（社区）组、农村乡镇组、企事业单位组</w:t>
      </w:r>
    </w:p>
    <w:p>
      <w:pPr>
        <w:pStyle w:val="5"/>
        <w:spacing w:line="520" w:lineRule="exact"/>
        <w:rPr>
          <w:rFonts w:hint="eastAsia" w:hAnsi="仿宋_GB2312" w:cs="仿宋_GB2312"/>
          <w:color w:val="000000"/>
          <w:szCs w:val="32"/>
        </w:rPr>
      </w:pPr>
      <w:r>
        <w:rPr>
          <w:rFonts w:hint="eastAsia" w:hAnsi="仿宋_GB2312" w:cs="仿宋_GB2312"/>
          <w:color w:val="000000"/>
          <w:szCs w:val="32"/>
        </w:rPr>
        <w:t>广场龙舞自选套路：城市街道（社区）组、农村乡镇组、企事业单位组</w:t>
      </w:r>
    </w:p>
    <w:p>
      <w:pPr>
        <w:pStyle w:val="5"/>
        <w:spacing w:line="520" w:lineRule="exact"/>
        <w:rPr>
          <w:rFonts w:hint="eastAsia" w:hAnsi="仿宋_GB2312" w:cs="仿宋_GB2312"/>
          <w:color w:val="000000"/>
          <w:szCs w:val="32"/>
          <w:lang w:val="zh-CN"/>
        </w:rPr>
      </w:pPr>
      <w:r>
        <w:rPr>
          <w:rFonts w:hint="eastAsia" w:hAnsi="仿宋_GB2312" w:cs="仿宋_GB2312"/>
          <w:color w:val="000000"/>
          <w:szCs w:val="32"/>
        </w:rPr>
        <w:t>（二）各参赛队自编一套广场舞参赛。操舞类规定套路、各地的广场舞推广套路等不允许参加展演。</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七、比赛规模</w:t>
      </w:r>
    </w:p>
    <w:p>
      <w:pPr>
        <w:pStyle w:val="5"/>
        <w:spacing w:line="520" w:lineRule="exact"/>
        <w:rPr>
          <w:rFonts w:hint="eastAsia" w:hAnsi="仿宋_GB2312" w:cs="仿宋_GB2312"/>
          <w:color w:val="000000"/>
          <w:szCs w:val="32"/>
        </w:rPr>
      </w:pPr>
      <w:r>
        <w:rPr>
          <w:rFonts w:hint="eastAsia" w:hAnsi="仿宋_GB2312" w:cs="仿宋_GB2312"/>
          <w:color w:val="000000"/>
          <w:szCs w:val="32"/>
        </w:rPr>
        <w:t>本次比赛为视频通讯赛，分为城市街道（社区）组、农村乡镇组、企事业单位组。</w:t>
      </w:r>
    </w:p>
    <w:p>
      <w:pPr>
        <w:pStyle w:val="5"/>
        <w:spacing w:line="520" w:lineRule="exact"/>
        <w:rPr>
          <w:rFonts w:hint="eastAsia" w:hAnsi="仿宋_GB2312" w:cs="仿宋_GB2312"/>
          <w:color w:val="000000"/>
          <w:szCs w:val="32"/>
        </w:rPr>
      </w:pPr>
      <w:r>
        <w:rPr>
          <w:rFonts w:hint="eastAsia" w:hAnsi="仿宋_GB2312" w:cs="仿宋_GB2312"/>
          <w:color w:val="000000"/>
          <w:szCs w:val="32"/>
        </w:rPr>
        <w:t>1.城市街道（社区）组：共23支队伍，东城区、西城区、石景山区、开发区、燕山地区各组各选派2支队伍参赛，朝阳区、海淀区、丰台区、门头沟区、房山区、通州区、顺义区、昌平区、大兴区、平谷区、怀柔区、密云区、延庆区，每个项目各选派1支队伍参赛。</w:t>
      </w:r>
    </w:p>
    <w:p>
      <w:pPr>
        <w:pStyle w:val="5"/>
        <w:spacing w:line="520" w:lineRule="exact"/>
        <w:rPr>
          <w:rFonts w:hint="eastAsia" w:hAnsi="仿宋_GB2312" w:cs="仿宋_GB2312"/>
          <w:color w:val="000000"/>
          <w:szCs w:val="32"/>
        </w:rPr>
      </w:pPr>
      <w:r>
        <w:rPr>
          <w:rFonts w:hint="eastAsia" w:hAnsi="仿宋_GB2312" w:cs="仿宋_GB2312"/>
          <w:color w:val="000000"/>
          <w:szCs w:val="32"/>
        </w:rPr>
        <w:t>2.农村乡镇组：共13支队伍，朝阳区、海淀区、丰台区、门头沟区、房山区、通州区、顺义区、昌平区、大兴区、平谷区、怀柔区、密云区、延庆区，每个项目各选派1支队伍参赛。</w:t>
      </w:r>
    </w:p>
    <w:p>
      <w:pPr>
        <w:pStyle w:val="5"/>
        <w:spacing w:line="520" w:lineRule="exact"/>
        <w:rPr>
          <w:rFonts w:hint="eastAsia" w:hAnsi="仿宋_GB2312" w:cs="仿宋_GB2312"/>
          <w:color w:val="000000"/>
          <w:szCs w:val="32"/>
        </w:rPr>
      </w:pPr>
      <w:r>
        <w:rPr>
          <w:rFonts w:hint="eastAsia" w:hAnsi="仿宋_GB2312" w:cs="仿宋_GB2312"/>
          <w:color w:val="000000"/>
          <w:szCs w:val="32"/>
        </w:rPr>
        <w:t>3.企事业单位组：共15支队伍，由市直机关工委工会每个项目选派10支至15支代表队。</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八、参赛办法</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（一）项</w:t>
      </w:r>
      <w:r>
        <w:rPr>
          <w:rFonts w:hint="eastAsia" w:ascii="楷体" w:hAnsi="楷体" w:eastAsia="楷体" w:cs="楷体"/>
          <w:bCs/>
          <w:sz w:val="32"/>
          <w:szCs w:val="32"/>
          <w:lang w:eastAsia="zh-Hans"/>
        </w:rPr>
        <w:t>目报名</w:t>
      </w:r>
    </w:p>
    <w:p>
      <w:pPr>
        <w:pStyle w:val="5"/>
        <w:spacing w:line="520" w:lineRule="exact"/>
        <w:rPr>
          <w:rFonts w:hint="eastAsia" w:hAnsi="仿宋_GB2312" w:cs="仿宋_GB2312"/>
          <w:color w:val="000000"/>
          <w:szCs w:val="32"/>
        </w:rPr>
      </w:pPr>
      <w:r>
        <w:rPr>
          <w:rFonts w:hint="eastAsia" w:hAnsi="仿宋_GB2312" w:cs="仿宋_GB2312"/>
          <w:color w:val="000000"/>
          <w:szCs w:val="32"/>
        </w:rPr>
        <w:t>请于2021年7月2日前，各区、各单位登录微信小程序“北京健身汇”进行填报或发送报名表至电子邮箱shetizhongxinhdb@tyj.beijing.gov.cn。联系人：钱松，联系电话：83167005，13601254568。</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（二）报名要求</w:t>
      </w:r>
    </w:p>
    <w:p>
      <w:pPr>
        <w:pStyle w:val="5"/>
        <w:spacing w:line="520" w:lineRule="exact"/>
        <w:rPr>
          <w:rFonts w:hint="eastAsia" w:hAnsi="仿宋_GB2312" w:cs="仿宋_GB2312"/>
          <w:color w:val="000000"/>
          <w:szCs w:val="32"/>
        </w:rPr>
      </w:pPr>
      <w:r>
        <w:rPr>
          <w:rFonts w:hint="eastAsia" w:hAnsi="仿宋_GB2312" w:cs="仿宋_GB2312"/>
          <w:color w:val="000000"/>
          <w:szCs w:val="32"/>
        </w:rPr>
        <w:t>1.以各区、企事业单位为单位统一报名。</w:t>
      </w:r>
    </w:p>
    <w:p>
      <w:pPr>
        <w:pStyle w:val="5"/>
        <w:spacing w:line="520" w:lineRule="exact"/>
        <w:rPr>
          <w:rFonts w:hint="eastAsia" w:hAnsi="仿宋_GB2312" w:cs="仿宋_GB2312"/>
          <w:color w:val="000000"/>
          <w:szCs w:val="32"/>
        </w:rPr>
      </w:pPr>
      <w:r>
        <w:rPr>
          <w:rFonts w:hint="eastAsia" w:hAnsi="仿宋_GB2312" w:cs="仿宋_GB2312"/>
          <w:color w:val="000000"/>
          <w:szCs w:val="32"/>
        </w:rPr>
        <w:t>2.以县处级以下的街道、乡镇、企事业单位为单位组队参加。</w:t>
      </w:r>
    </w:p>
    <w:p>
      <w:pPr>
        <w:pStyle w:val="5"/>
        <w:spacing w:line="520" w:lineRule="exact"/>
        <w:rPr>
          <w:rFonts w:hint="eastAsia" w:hAnsi="仿宋_GB2312" w:cs="仿宋_GB2312"/>
          <w:color w:val="000000"/>
          <w:szCs w:val="32"/>
        </w:rPr>
      </w:pPr>
      <w:r>
        <w:rPr>
          <w:rFonts w:hint="eastAsia" w:hAnsi="仿宋_GB2312" w:cs="仿宋_GB2312"/>
          <w:color w:val="000000"/>
          <w:szCs w:val="32"/>
        </w:rPr>
        <w:t>3.参赛资格证明材料</w:t>
      </w:r>
    </w:p>
    <w:p>
      <w:pPr>
        <w:pStyle w:val="5"/>
        <w:spacing w:line="520" w:lineRule="exact"/>
        <w:rPr>
          <w:rFonts w:hint="eastAsia" w:hAnsi="仿宋_GB2312" w:cs="仿宋_GB2312"/>
          <w:color w:val="000000"/>
          <w:szCs w:val="32"/>
        </w:rPr>
      </w:pPr>
      <w:r>
        <w:rPr>
          <w:rFonts w:hint="eastAsia" w:hAnsi="仿宋_GB2312" w:cs="仿宋_GB2312"/>
          <w:color w:val="000000"/>
          <w:szCs w:val="32"/>
        </w:rPr>
        <w:t>以下证明材料根据报名组别择一即可。</w:t>
      </w:r>
    </w:p>
    <w:p>
      <w:pPr>
        <w:pStyle w:val="5"/>
        <w:spacing w:line="520" w:lineRule="exact"/>
        <w:rPr>
          <w:rFonts w:hint="eastAsia" w:hAnsi="仿宋_GB2312" w:cs="仿宋_GB2312"/>
          <w:color w:val="000000"/>
          <w:szCs w:val="32"/>
        </w:rPr>
      </w:pPr>
      <w:r>
        <w:rPr>
          <w:rFonts w:hint="eastAsia" w:hAnsi="仿宋_GB2312" w:cs="仿宋_GB2312"/>
          <w:color w:val="000000"/>
          <w:szCs w:val="32"/>
        </w:rPr>
        <w:t>（1）城市街道（社区）组、农村乡镇组：</w:t>
      </w:r>
    </w:p>
    <w:p>
      <w:pPr>
        <w:pStyle w:val="5"/>
        <w:spacing w:line="520" w:lineRule="exact"/>
        <w:rPr>
          <w:rFonts w:hint="eastAsia" w:hAnsi="仿宋_GB2312" w:cs="仿宋_GB2312"/>
          <w:color w:val="000000"/>
          <w:szCs w:val="32"/>
        </w:rPr>
      </w:pPr>
      <w:r>
        <w:rPr>
          <w:rFonts w:hint="eastAsia" w:hAnsi="仿宋_GB2312" w:cs="仿宋_GB2312"/>
          <w:color w:val="000000"/>
          <w:szCs w:val="32"/>
        </w:rPr>
        <w:t>a.运动员代表本人户籍所在地参赛，需提供本人户口本（满1年）；</w:t>
      </w:r>
    </w:p>
    <w:p>
      <w:pPr>
        <w:pStyle w:val="5"/>
        <w:spacing w:line="520" w:lineRule="exact"/>
        <w:rPr>
          <w:rFonts w:hint="eastAsia" w:hAnsi="仿宋_GB2312" w:cs="仿宋_GB2312"/>
          <w:color w:val="000000"/>
          <w:szCs w:val="32"/>
        </w:rPr>
      </w:pPr>
      <w:r>
        <w:rPr>
          <w:rFonts w:hint="eastAsia" w:hAnsi="仿宋_GB2312" w:cs="仿宋_GB2312"/>
          <w:color w:val="000000"/>
          <w:szCs w:val="32"/>
        </w:rPr>
        <w:t>b.运动员代表长期居住地参赛，需提供本人居住证或居住地公安派出所或者受公安机关委托的社区服务机构出具的居住证明和社保缴纳记录（满1年）。</w:t>
      </w:r>
    </w:p>
    <w:p>
      <w:pPr>
        <w:pStyle w:val="5"/>
        <w:spacing w:line="520" w:lineRule="exact"/>
        <w:rPr>
          <w:rFonts w:hint="eastAsia" w:hAnsi="仿宋_GB2312" w:cs="仿宋_GB2312"/>
          <w:color w:val="000000"/>
          <w:szCs w:val="32"/>
        </w:rPr>
      </w:pPr>
      <w:r>
        <w:rPr>
          <w:rFonts w:hint="eastAsia" w:hAnsi="仿宋_GB2312" w:cs="仿宋_GB2312"/>
          <w:color w:val="000000"/>
          <w:szCs w:val="32"/>
        </w:rPr>
        <w:t>（2）企事业单位组:</w:t>
      </w:r>
    </w:p>
    <w:p>
      <w:pPr>
        <w:pStyle w:val="5"/>
        <w:spacing w:line="520" w:lineRule="exact"/>
        <w:rPr>
          <w:rFonts w:hint="eastAsia" w:hAnsi="仿宋_GB2312" w:cs="仿宋_GB2312"/>
          <w:color w:val="000000"/>
          <w:szCs w:val="32"/>
        </w:rPr>
      </w:pPr>
      <w:r>
        <w:rPr>
          <w:rFonts w:hint="eastAsia" w:hAnsi="仿宋_GB2312" w:cs="仿宋_GB2312"/>
          <w:color w:val="000000"/>
          <w:szCs w:val="32"/>
        </w:rPr>
        <w:t>运动员代表企事业单位参赛,需提供工作单位证明：劳动合同、收入及纳税证明、社保证明（1年以上）。</w:t>
      </w:r>
    </w:p>
    <w:p>
      <w:pPr>
        <w:pStyle w:val="5"/>
        <w:spacing w:line="520" w:lineRule="exact"/>
        <w:rPr>
          <w:rFonts w:hint="eastAsia" w:hAnsi="仿宋_GB2312" w:cs="仿宋_GB2312"/>
          <w:color w:val="000000"/>
          <w:szCs w:val="32"/>
        </w:rPr>
      </w:pPr>
      <w:r>
        <w:rPr>
          <w:rFonts w:hint="eastAsia" w:hAnsi="仿宋_GB2312" w:cs="仿宋_GB2312"/>
          <w:color w:val="000000"/>
          <w:szCs w:val="32"/>
        </w:rPr>
        <w:t>4.正规医疗机构出具的健康证明。</w:t>
      </w:r>
    </w:p>
    <w:p>
      <w:pPr>
        <w:pStyle w:val="5"/>
        <w:spacing w:line="520" w:lineRule="exact"/>
        <w:rPr>
          <w:rFonts w:hint="eastAsia" w:hAnsi="仿宋_GB2312" w:cs="仿宋_GB2312"/>
          <w:color w:val="000000"/>
          <w:szCs w:val="32"/>
        </w:rPr>
      </w:pPr>
      <w:r>
        <w:rPr>
          <w:rFonts w:hint="eastAsia" w:hAnsi="仿宋_GB2312" w:cs="仿宋_GB2312"/>
          <w:color w:val="000000"/>
          <w:szCs w:val="32"/>
        </w:rPr>
        <w:t>5.《个人参赛声明》。</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九、运动员资格及审核</w:t>
      </w:r>
    </w:p>
    <w:p>
      <w:pPr>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（一）运动员资格</w:t>
      </w:r>
    </w:p>
    <w:p>
      <w:pPr>
        <w:pStyle w:val="5"/>
        <w:spacing w:line="520" w:lineRule="exact"/>
        <w:rPr>
          <w:rFonts w:hint="eastAsia" w:hAnsi="仿宋_GB2312" w:cs="仿宋_GB2312"/>
          <w:color w:val="000000"/>
          <w:szCs w:val="32"/>
        </w:rPr>
      </w:pPr>
      <w:r>
        <w:rPr>
          <w:rFonts w:hint="eastAsia" w:hAnsi="仿宋_GB2312" w:cs="仿宋_GB2312"/>
          <w:color w:val="000000"/>
          <w:szCs w:val="32"/>
        </w:rPr>
        <w:t>1.中华人民共和国公民。</w:t>
      </w:r>
    </w:p>
    <w:p>
      <w:pPr>
        <w:pStyle w:val="5"/>
        <w:spacing w:line="520" w:lineRule="exact"/>
        <w:rPr>
          <w:rFonts w:hint="eastAsia" w:hAnsi="仿宋_GB2312" w:cs="仿宋_GB2312"/>
          <w:color w:val="000000"/>
          <w:szCs w:val="32"/>
        </w:rPr>
      </w:pPr>
      <w:r>
        <w:rPr>
          <w:rFonts w:hint="eastAsia" w:hAnsi="仿宋_GB2312" w:cs="仿宋_GB2312"/>
          <w:color w:val="000000"/>
          <w:szCs w:val="32"/>
        </w:rPr>
        <w:t>2.运动员须年满25周岁（1996年5月1日前出生，不含5月1日），参赛年龄上限为65周岁（1956年5月1日后出生，含5月1日）。</w:t>
      </w:r>
    </w:p>
    <w:p>
      <w:pPr>
        <w:pStyle w:val="5"/>
        <w:spacing w:line="520" w:lineRule="exact"/>
        <w:rPr>
          <w:rFonts w:hint="eastAsia" w:hAnsi="仿宋_GB2312" w:cs="仿宋_GB2312"/>
          <w:color w:val="000000"/>
          <w:szCs w:val="32"/>
        </w:rPr>
      </w:pPr>
      <w:r>
        <w:rPr>
          <w:rFonts w:hint="eastAsia" w:hAnsi="仿宋_GB2312" w:cs="仿宋_GB2312"/>
          <w:color w:val="000000"/>
          <w:szCs w:val="32"/>
        </w:rPr>
        <w:t>3.运动员代表本人户籍所在地、长期居住地或就职单位（落户、就职1年以上）参加第十四届全运会群众赛事活动。</w:t>
      </w:r>
    </w:p>
    <w:p>
      <w:pPr>
        <w:pStyle w:val="5"/>
        <w:spacing w:line="520" w:lineRule="exact"/>
        <w:rPr>
          <w:rFonts w:hint="eastAsia" w:hAnsi="仿宋_GB2312" w:cs="仿宋_GB2312"/>
          <w:color w:val="000000"/>
          <w:szCs w:val="32"/>
        </w:rPr>
      </w:pPr>
      <w:r>
        <w:rPr>
          <w:rFonts w:hint="eastAsia" w:hAnsi="仿宋_GB2312" w:cs="仿宋_GB2312"/>
          <w:color w:val="000000"/>
          <w:szCs w:val="32"/>
        </w:rPr>
        <w:t>城市街道（社区）组、农村乡镇组：本人户籍所在地以本人身份证或户口本为依据；长期居住地以本人居住证或社保缴纳记录（满</w:t>
      </w:r>
      <w:r>
        <w:rPr>
          <w:rFonts w:hint="eastAsia" w:hAnsi="仿宋_GB2312" w:cs="仿宋_GB2312"/>
          <w:color w:val="000000"/>
          <w:szCs w:val="32"/>
          <w:lang w:val="en"/>
        </w:rPr>
        <w:t>1</w:t>
      </w:r>
      <w:r>
        <w:rPr>
          <w:rFonts w:hint="eastAsia" w:hAnsi="仿宋_GB2312" w:cs="仿宋_GB2312"/>
          <w:color w:val="000000"/>
          <w:szCs w:val="32"/>
        </w:rPr>
        <w:t>年）为依据。企事业单位组：劳动合同、收入及纳税证明、社保证明等为依据。</w:t>
      </w:r>
    </w:p>
    <w:p>
      <w:pPr>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（二）资格审查</w:t>
      </w:r>
    </w:p>
    <w:p>
      <w:pPr>
        <w:pStyle w:val="5"/>
        <w:spacing w:line="520" w:lineRule="exact"/>
        <w:rPr>
          <w:rFonts w:hint="eastAsia" w:hAnsi="仿宋_GB2312" w:cs="仿宋_GB2312"/>
          <w:color w:val="000000"/>
          <w:szCs w:val="32"/>
        </w:rPr>
      </w:pPr>
      <w:r>
        <w:rPr>
          <w:rFonts w:hint="eastAsia" w:hAnsi="仿宋_GB2312" w:cs="仿宋_GB2312"/>
          <w:color w:val="000000"/>
          <w:szCs w:val="32"/>
        </w:rPr>
        <w:t>1.一名运动员必须以同一身份报名，代表同一组别参赛，禁止跨组别参赛。</w:t>
      </w:r>
    </w:p>
    <w:p>
      <w:pPr>
        <w:pStyle w:val="5"/>
        <w:spacing w:line="520" w:lineRule="exact"/>
        <w:rPr>
          <w:rFonts w:hint="eastAsia" w:hAnsi="仿宋_GB2312" w:cs="仿宋_GB2312"/>
          <w:color w:val="000000"/>
          <w:szCs w:val="32"/>
        </w:rPr>
      </w:pPr>
      <w:r>
        <w:rPr>
          <w:rFonts w:hint="eastAsia" w:hAnsi="仿宋_GB2312" w:cs="仿宋_GB2312"/>
          <w:color w:val="000000"/>
          <w:szCs w:val="32"/>
        </w:rPr>
        <w:t>2.国家体育总局社会体育指导中心将对运动员参赛资格进行审查，通过网络公示接受各参赛单位和社会监督。各参赛单位可利用自查、互查和举报等形式，对运动员参赛资格进行审核与监督。</w:t>
      </w:r>
    </w:p>
    <w:p>
      <w:pPr>
        <w:pStyle w:val="5"/>
        <w:spacing w:line="520" w:lineRule="exact"/>
        <w:rPr>
          <w:rFonts w:hint="eastAsia" w:hAnsi="仿宋_GB2312" w:cs="仿宋_GB2312"/>
          <w:color w:val="000000"/>
          <w:szCs w:val="32"/>
        </w:rPr>
      </w:pPr>
      <w:r>
        <w:rPr>
          <w:rFonts w:hint="eastAsia" w:hAnsi="仿宋_GB2312" w:cs="仿宋_GB2312"/>
          <w:color w:val="000000"/>
          <w:szCs w:val="32"/>
        </w:rPr>
        <w:t>3.运动员在参赛资格上经查证属实有违反规定的，取消全队参赛资格和比赛成绩。此外，还将根据相关规定对相关责任人员和单位进行处罚。</w:t>
      </w:r>
    </w:p>
    <w:p>
      <w:pPr>
        <w:pStyle w:val="5"/>
        <w:spacing w:line="520" w:lineRule="exact"/>
        <w:rPr>
          <w:rFonts w:hint="eastAsia" w:hAnsi="仿宋_GB2312" w:cs="仿宋_GB2312"/>
          <w:color w:val="000000"/>
          <w:szCs w:val="32"/>
        </w:rPr>
      </w:pPr>
      <w:r>
        <w:rPr>
          <w:rFonts w:hint="eastAsia" w:hAnsi="仿宋_GB2312" w:cs="仿宋_GB2312"/>
          <w:color w:val="000000"/>
          <w:szCs w:val="32"/>
        </w:rPr>
        <w:t>4.运动队被取消参赛资格和比赛成绩的，已完成的比赛结果不再改变，其被取消的名次依次递补。</w:t>
      </w:r>
    </w:p>
    <w:p>
      <w:pPr>
        <w:pStyle w:val="4"/>
        <w:autoSpaceDE w:val="0"/>
        <w:autoSpaceDN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十、比赛办法</w:t>
      </w:r>
    </w:p>
    <w:p>
      <w:pPr>
        <w:pStyle w:val="5"/>
        <w:spacing w:line="56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（一）上传参赛视频</w:t>
      </w:r>
    </w:p>
    <w:p>
      <w:pPr>
        <w:pStyle w:val="5"/>
        <w:spacing w:line="520" w:lineRule="exact"/>
        <w:rPr>
          <w:rFonts w:hint="eastAsia" w:hAnsi="仿宋_GB2312" w:cs="仿宋_GB2312"/>
          <w:color w:val="000000"/>
          <w:szCs w:val="32"/>
        </w:rPr>
      </w:pPr>
      <w:r>
        <w:rPr>
          <w:rFonts w:hint="eastAsia" w:hAnsi="仿宋_GB2312" w:cs="仿宋_GB2312"/>
          <w:color w:val="000000"/>
          <w:szCs w:val="32"/>
        </w:rPr>
        <w:t>各参赛单位报名成功后，请于2021年7月8日前，上传参赛作品。</w:t>
      </w:r>
    </w:p>
    <w:p>
      <w:pPr>
        <w:pStyle w:val="5"/>
        <w:spacing w:line="520" w:lineRule="exact"/>
        <w:rPr>
          <w:color w:val="000000"/>
          <w:szCs w:val="32"/>
        </w:rPr>
      </w:pPr>
      <w:r>
        <w:rPr>
          <w:rFonts w:hint="eastAsia" w:hAnsi="仿宋_GB2312" w:cs="仿宋_GB2312"/>
          <w:color w:val="000000"/>
          <w:szCs w:val="32"/>
        </w:rPr>
        <w:t>电子邮箱：</w:t>
      </w:r>
      <w:r>
        <w:rPr>
          <w:rFonts w:hint="eastAsia" w:hAnsi="仿宋_GB2312" w:cs="仿宋_GB2312"/>
          <w:color w:val="000000"/>
          <w:szCs w:val="32"/>
        </w:rPr>
        <w:fldChar w:fldCharType="begin"/>
      </w:r>
      <w:r>
        <w:rPr>
          <w:rFonts w:hint="eastAsia" w:hAnsi="仿宋_GB2312" w:cs="仿宋_GB2312"/>
          <w:color w:val="000000"/>
          <w:szCs w:val="32"/>
        </w:rPr>
        <w:instrText xml:space="preserve"> HYPERLINK "http://qyhqtzy.sport.org.cn。" </w:instrText>
      </w:r>
      <w:r>
        <w:rPr>
          <w:rFonts w:hint="eastAsia" w:hAnsi="仿宋_GB2312" w:cs="仿宋_GB2312"/>
          <w:color w:val="000000"/>
          <w:szCs w:val="32"/>
        </w:rPr>
        <w:fldChar w:fldCharType="separate"/>
      </w:r>
      <w:r>
        <w:rPr>
          <w:rFonts w:hint="eastAsia" w:hAnsi="仿宋_GB2312" w:cs="仿宋_GB2312"/>
          <w:color w:val="000000"/>
          <w:szCs w:val="32"/>
        </w:rPr>
        <w:t>shetizhongxinhdb@tyj.beijing.gov.cn。</w:t>
      </w:r>
      <w:r>
        <w:rPr>
          <w:rFonts w:hint="eastAsia" w:hAnsi="仿宋_GB2312" w:cs="仿宋_GB2312"/>
          <w:color w:val="000000"/>
          <w:szCs w:val="32"/>
        </w:rPr>
        <w:fldChar w:fldCharType="end"/>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（二）规则</w:t>
      </w:r>
    </w:p>
    <w:p>
      <w:pPr>
        <w:pStyle w:val="5"/>
        <w:spacing w:line="520" w:lineRule="exact"/>
        <w:rPr>
          <w:rFonts w:hint="eastAsia" w:hAnsi="仿宋_GB2312" w:cs="仿宋_GB2312"/>
          <w:color w:val="000000"/>
          <w:szCs w:val="32"/>
        </w:rPr>
      </w:pPr>
      <w:r>
        <w:rPr>
          <w:rFonts w:hint="eastAsia" w:hAnsi="仿宋_GB2312" w:cs="仿宋_GB2312"/>
          <w:color w:val="000000"/>
          <w:szCs w:val="32"/>
        </w:rPr>
        <w:t>1.健身舞执行由国家体育总局社会体育指导中心审定的《广场舞竞赛规则》（2018年1月人民体育出版社出版发行）。</w:t>
      </w:r>
    </w:p>
    <w:p>
      <w:pPr>
        <w:pStyle w:val="5"/>
        <w:spacing w:line="520" w:lineRule="exact"/>
        <w:rPr>
          <w:rFonts w:hint="eastAsia" w:hAnsi="仿宋_GB2312" w:cs="仿宋_GB2312"/>
          <w:color w:val="000000"/>
          <w:szCs w:val="32"/>
        </w:rPr>
      </w:pPr>
      <w:r>
        <w:rPr>
          <w:rFonts w:hint="eastAsia" w:hAnsi="仿宋_GB2312" w:cs="仿宋_GB2312"/>
          <w:color w:val="000000"/>
          <w:szCs w:val="32"/>
        </w:rPr>
        <w:t>2.健身秧歌（鼓）执行由国家体育总局社会体育指导中心审定的《健身秧歌（鼓）竞赛规则与裁判法（2018版）》（http://www.sport.gov.cn/stzx/n5439/c854197/content.htmh）。</w:t>
      </w:r>
    </w:p>
    <w:p>
      <w:pPr>
        <w:pStyle w:val="5"/>
        <w:spacing w:line="520" w:lineRule="exact"/>
        <w:rPr>
          <w:rFonts w:hint="eastAsia" w:hAnsi="仿宋_GB2312" w:cs="仿宋_GB2312"/>
          <w:color w:val="000000"/>
          <w:szCs w:val="32"/>
        </w:rPr>
      </w:pPr>
      <w:r>
        <w:rPr>
          <w:rFonts w:hint="eastAsia" w:hAnsi="仿宋_GB2312" w:cs="仿宋_GB2312"/>
          <w:color w:val="000000"/>
          <w:szCs w:val="32"/>
        </w:rPr>
        <w:t>3.广场龙舞执行由国际龙狮运动联合会审定的《国际舞龙南狮北狮竞赛规则、裁判法》(2011年9月人民体育出版社出版)。</w:t>
      </w:r>
    </w:p>
    <w:p>
      <w:pPr>
        <w:adjustRightInd w:val="0"/>
        <w:snapToGrid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（三）参加人数</w:t>
      </w:r>
    </w:p>
    <w:p>
      <w:pPr>
        <w:pStyle w:val="5"/>
        <w:spacing w:line="520" w:lineRule="exact"/>
        <w:rPr>
          <w:rFonts w:hint="eastAsia" w:hAnsi="仿宋_GB2312" w:cs="仿宋_GB2312"/>
          <w:color w:val="000000"/>
          <w:szCs w:val="32"/>
        </w:rPr>
      </w:pPr>
      <w:r>
        <w:rPr>
          <w:rFonts w:hint="eastAsia" w:hAnsi="仿宋_GB2312" w:cs="仿宋_GB2312"/>
          <w:color w:val="000000"/>
          <w:szCs w:val="32"/>
        </w:rPr>
        <w:t>1.健身舞、健身秧歌（鼓）分项可报领队1人、教练1人、上场比赛队员8至16人、替补队员2人，参赛队员可兼领队、教练，鼓励男性参加。</w:t>
      </w:r>
    </w:p>
    <w:p>
      <w:pPr>
        <w:pStyle w:val="5"/>
        <w:spacing w:line="520" w:lineRule="exact"/>
        <w:rPr>
          <w:rFonts w:hint="eastAsia" w:hAnsi="仿宋_GB2312" w:cs="仿宋_GB2312"/>
          <w:color w:val="000000"/>
          <w:szCs w:val="32"/>
        </w:rPr>
      </w:pPr>
      <w:r>
        <w:rPr>
          <w:rFonts w:hint="eastAsia" w:hAnsi="仿宋_GB2312" w:cs="仿宋_GB2312"/>
          <w:color w:val="000000"/>
          <w:szCs w:val="32"/>
        </w:rPr>
        <w:t>2.广场龙舞分项可报领队1人、教练1人、运动员14人（含9把1珠场上队员和替补队员），参赛队员可兼领队、教练，性别不限。</w:t>
      </w:r>
    </w:p>
    <w:p>
      <w:pPr>
        <w:adjustRightInd w:val="0"/>
        <w:snapToGrid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（四）比赛场地</w:t>
      </w:r>
    </w:p>
    <w:p>
      <w:pPr>
        <w:pStyle w:val="5"/>
        <w:spacing w:line="520" w:lineRule="exact"/>
        <w:rPr>
          <w:rFonts w:hint="eastAsia" w:hAnsi="仿宋_GB2312" w:cs="仿宋_GB2312"/>
          <w:color w:val="000000"/>
          <w:szCs w:val="32"/>
        </w:rPr>
      </w:pPr>
      <w:r>
        <w:rPr>
          <w:rFonts w:hint="eastAsia" w:hAnsi="仿宋_GB2312" w:cs="仿宋_GB2312"/>
          <w:color w:val="000000"/>
          <w:szCs w:val="32"/>
        </w:rPr>
        <w:t>1.健身舞比赛场地18米×16米，标记带宽5cm。</w:t>
      </w:r>
    </w:p>
    <w:p>
      <w:pPr>
        <w:pStyle w:val="5"/>
        <w:spacing w:line="520" w:lineRule="exact"/>
        <w:rPr>
          <w:rFonts w:hint="eastAsia" w:hAnsi="仿宋_GB2312" w:cs="仿宋_GB2312"/>
          <w:color w:val="000000"/>
          <w:szCs w:val="32"/>
        </w:rPr>
      </w:pPr>
      <w:r>
        <w:rPr>
          <w:rFonts w:hint="eastAsia" w:hAnsi="仿宋_GB2312" w:cs="仿宋_GB2312"/>
          <w:color w:val="000000"/>
          <w:szCs w:val="32"/>
        </w:rPr>
        <w:t>2.</w:t>
      </w:r>
      <w:bookmarkStart w:id="0" w:name="_Hlk71660583"/>
      <w:r>
        <w:rPr>
          <w:rFonts w:hint="eastAsia" w:hAnsi="仿宋_GB2312" w:cs="仿宋_GB2312"/>
          <w:color w:val="000000"/>
          <w:szCs w:val="32"/>
        </w:rPr>
        <w:t>健身秧歌（鼓）</w:t>
      </w:r>
      <w:bookmarkEnd w:id="0"/>
      <w:r>
        <w:rPr>
          <w:rFonts w:hint="eastAsia" w:hAnsi="仿宋_GB2312" w:cs="仿宋_GB2312"/>
          <w:color w:val="000000"/>
          <w:szCs w:val="32"/>
        </w:rPr>
        <w:t>比赛场地15米×15米，标记带宽5cm。</w:t>
      </w:r>
    </w:p>
    <w:p>
      <w:pPr>
        <w:pStyle w:val="5"/>
        <w:spacing w:line="520" w:lineRule="exact"/>
        <w:rPr>
          <w:rFonts w:ascii="仿宋" w:hAnsi="仿宋" w:eastAsia="仿宋"/>
          <w:szCs w:val="32"/>
        </w:rPr>
      </w:pPr>
      <w:r>
        <w:rPr>
          <w:rFonts w:hint="eastAsia" w:hAnsi="仿宋_GB2312" w:cs="仿宋_GB2312"/>
          <w:color w:val="000000"/>
          <w:szCs w:val="32"/>
        </w:rPr>
        <w:t>3.广场龙舞比赛场地20米×20米，场地边线宽5cm。</w:t>
      </w:r>
    </w:p>
    <w:p>
      <w:pPr>
        <w:adjustRightInd w:val="0"/>
        <w:snapToGrid w:val="0"/>
        <w:spacing w:line="600" w:lineRule="exact"/>
        <w:ind w:firstLine="640" w:firstLineChars="200"/>
        <w:rPr>
          <w:rFonts w:hint="eastAsia" w:ascii="楷体" w:hAnsi="楷体" w:eastAsia="楷体" w:cs="楷体"/>
          <w:bCs/>
          <w:sz w:val="32"/>
          <w:szCs w:val="32"/>
        </w:rPr>
      </w:pPr>
      <w:r>
        <w:rPr>
          <w:rFonts w:hint="eastAsia" w:ascii="楷体" w:hAnsi="楷体" w:eastAsia="楷体" w:cs="楷体"/>
          <w:sz w:val="32"/>
          <w:szCs w:val="32"/>
        </w:rPr>
        <w:t>（五）</w:t>
      </w:r>
      <w:r>
        <w:rPr>
          <w:rFonts w:hint="eastAsia" w:ascii="楷体" w:hAnsi="楷体" w:eastAsia="楷体" w:cs="楷体"/>
          <w:bCs/>
          <w:sz w:val="32"/>
          <w:szCs w:val="32"/>
        </w:rPr>
        <w:t>参赛视频拍摄要求</w:t>
      </w:r>
    </w:p>
    <w:p>
      <w:pPr>
        <w:pStyle w:val="5"/>
        <w:spacing w:line="520" w:lineRule="exact"/>
        <w:rPr>
          <w:rFonts w:hint="eastAsia" w:hAnsi="仿宋_GB2312" w:cs="仿宋_GB2312"/>
          <w:color w:val="000000"/>
          <w:szCs w:val="32"/>
        </w:rPr>
      </w:pPr>
      <w:r>
        <w:rPr>
          <w:rFonts w:hint="eastAsia" w:hAnsi="仿宋_GB2312" w:cs="仿宋_GB2312"/>
          <w:color w:val="000000"/>
          <w:szCs w:val="32"/>
        </w:rPr>
        <w:t>1.拍摄视频时，参赛队员精神饱满,身体状况良好；着装需适宜运动且符合动作与曲目风格，禁止任何不文明、不健康的元素；不得怪异造型；龙舞分项运动员上场比赛须佩戴“0-10”号码。</w:t>
      </w:r>
    </w:p>
    <w:p>
      <w:pPr>
        <w:pStyle w:val="5"/>
        <w:spacing w:line="500" w:lineRule="exact"/>
        <w:rPr>
          <w:rFonts w:hint="eastAsia" w:hAnsi="仿宋_GB2312" w:cs="仿宋_GB2312"/>
          <w:color w:val="000000"/>
          <w:szCs w:val="32"/>
        </w:rPr>
      </w:pPr>
      <w:r>
        <w:rPr>
          <w:rFonts w:hint="eastAsia" w:hAnsi="仿宋_GB2312" w:cs="仿宋_GB2312"/>
          <w:color w:val="000000"/>
          <w:szCs w:val="32"/>
        </w:rPr>
        <w:t>2.拍摄场地为室外；单机位正面拍摄, 拍摄镜头与第一排（前面）运动员的距离适宜，画面能清晰看到比赛场地和舞台背景图，且全体参赛队员成套动作过程均在画面内；参赛视频应包括进场、展演及退场，健身舞和健身秧歌（鼓）分项时长不超过5分钟，龙舞分项不超过12分钟。</w:t>
      </w:r>
    </w:p>
    <w:p>
      <w:pPr>
        <w:pStyle w:val="5"/>
        <w:spacing w:line="500" w:lineRule="exact"/>
        <w:rPr>
          <w:rFonts w:hint="eastAsia" w:hAnsi="仿宋_GB2312" w:cs="仿宋_GB2312"/>
          <w:color w:val="000000"/>
          <w:szCs w:val="32"/>
        </w:rPr>
      </w:pPr>
      <w:r>
        <w:rPr>
          <w:rFonts w:hint="eastAsia" w:hAnsi="仿宋_GB2312" w:cs="仿宋_GB2312"/>
          <w:color w:val="000000"/>
          <w:szCs w:val="32"/>
        </w:rPr>
        <w:t>3.视频必须连续拍摄，无剪辑，不得中断、转切画面，图像清晰稳定；视频画面长高比例为16:9，视频画质为1920×1080P，视频格式后缀为MP4或者MOV。</w:t>
      </w:r>
    </w:p>
    <w:p>
      <w:pPr>
        <w:pStyle w:val="5"/>
        <w:spacing w:line="500" w:lineRule="exact"/>
        <w:rPr>
          <w:rFonts w:hint="eastAsia" w:hAnsi="仿宋_GB2312" w:cs="仿宋_GB2312"/>
          <w:color w:val="000000"/>
          <w:szCs w:val="32"/>
        </w:rPr>
      </w:pPr>
      <w:r>
        <w:rPr>
          <w:rFonts w:hint="eastAsia" w:hAnsi="仿宋_GB2312" w:cs="仿宋_GB2312"/>
          <w:color w:val="000000"/>
          <w:szCs w:val="32"/>
        </w:rPr>
        <w:t>4.参赛视频内容严禁违背社会公德，禁止出现与比赛无关的广告内容和违反相关法律、法规的内容，各参赛主管单位负责视频的合法性审核。</w:t>
      </w:r>
    </w:p>
    <w:p>
      <w:pPr>
        <w:pStyle w:val="5"/>
        <w:spacing w:line="500" w:lineRule="exact"/>
        <w:rPr>
          <w:rFonts w:hint="eastAsia" w:hAnsi="仿宋_GB2312" w:cs="仿宋_GB2312"/>
          <w:color w:val="000000"/>
          <w:szCs w:val="32"/>
        </w:rPr>
      </w:pPr>
      <w:r>
        <w:rPr>
          <w:rFonts w:hint="eastAsia" w:hAnsi="仿宋_GB2312" w:cs="仿宋_GB2312"/>
          <w:color w:val="000000"/>
          <w:szCs w:val="32"/>
        </w:rPr>
        <w:t>5.若参赛视频中队员与报名时不一致，一经查实，取消比赛资格。</w:t>
      </w:r>
    </w:p>
    <w:p>
      <w:pPr>
        <w:pStyle w:val="5"/>
        <w:spacing w:line="500" w:lineRule="exact"/>
        <w:rPr>
          <w:rFonts w:hint="eastAsia" w:hAnsi="仿宋_GB2312" w:cs="仿宋_GB2312"/>
          <w:color w:val="000000"/>
          <w:szCs w:val="32"/>
        </w:rPr>
      </w:pPr>
      <w:r>
        <w:rPr>
          <w:rFonts w:hint="eastAsia" w:hAnsi="仿宋_GB2312" w:cs="仿宋_GB2312"/>
          <w:color w:val="000000"/>
          <w:szCs w:val="32"/>
        </w:rPr>
        <w:t>6.所提交的参赛视频内容应无版权争议，如涉及版权问题由参赛者承担。</w:t>
      </w:r>
    </w:p>
    <w:p>
      <w:pPr>
        <w:pStyle w:val="5"/>
        <w:spacing w:line="500" w:lineRule="exact"/>
        <w:rPr>
          <w:rFonts w:hint="eastAsia" w:hAnsi="仿宋_GB2312" w:cs="仿宋_GB2312"/>
          <w:color w:val="000000"/>
          <w:szCs w:val="32"/>
        </w:rPr>
      </w:pPr>
      <w:r>
        <w:rPr>
          <w:rFonts w:hint="eastAsia" w:hAnsi="仿宋_GB2312" w:cs="仿宋_GB2312"/>
          <w:color w:val="000000"/>
          <w:szCs w:val="32"/>
        </w:rPr>
        <w:t>7.依照《中华人民共和国著作法》，参加展演活动的运动员（队）对本人（队）的视频享有著作权；组委会对参演的视频享有发表、放映、出版、宣传及展览的权力，并享有优先使用权。</w:t>
      </w:r>
    </w:p>
    <w:p>
      <w:pPr>
        <w:spacing w:line="500" w:lineRule="exact"/>
        <w:ind w:firstLine="640" w:firstLineChars="200"/>
        <w:rPr>
          <w:rFonts w:hint="eastAsia" w:ascii="黑体" w:hAnsi="黑体" w:eastAsia="黑体" w:cs="黑体"/>
          <w:sz w:val="32"/>
          <w:szCs w:val="32"/>
          <w:lang w:val="zh-TW"/>
        </w:rPr>
      </w:pPr>
      <w:r>
        <w:rPr>
          <w:rFonts w:hint="eastAsia" w:ascii="黑体" w:hAnsi="黑体" w:eastAsia="黑体" w:cs="黑体"/>
          <w:sz w:val="32"/>
          <w:szCs w:val="32"/>
        </w:rPr>
        <w:t>十一、</w:t>
      </w:r>
      <w:r>
        <w:rPr>
          <w:rFonts w:hint="eastAsia" w:ascii="黑体" w:hAnsi="黑体" w:eastAsia="黑体" w:cs="黑体"/>
          <w:sz w:val="32"/>
          <w:szCs w:val="32"/>
          <w:lang w:val="zh-TW"/>
        </w:rPr>
        <w:t>评</w:t>
      </w:r>
      <w:r>
        <w:rPr>
          <w:rFonts w:hint="eastAsia" w:ascii="黑体" w:hAnsi="黑体" w:eastAsia="黑体" w:cs="黑体"/>
          <w:sz w:val="32"/>
          <w:szCs w:val="32"/>
        </w:rPr>
        <w:t>比与奖励</w:t>
      </w:r>
    </w:p>
    <w:p>
      <w:pPr>
        <w:pStyle w:val="5"/>
        <w:spacing w:line="50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（一）评比</w:t>
      </w:r>
    </w:p>
    <w:p>
      <w:pPr>
        <w:pStyle w:val="5"/>
        <w:spacing w:line="500" w:lineRule="exact"/>
        <w:rPr>
          <w:rFonts w:hint="eastAsia" w:hAnsi="仿宋_GB2312" w:cs="仿宋_GB2312"/>
          <w:color w:val="000000"/>
          <w:szCs w:val="32"/>
          <w:lang w:val="zh-TW" w:eastAsia="zh-TW"/>
        </w:rPr>
      </w:pPr>
      <w:r>
        <w:rPr>
          <w:rFonts w:hint="eastAsia" w:hAnsi="仿宋_GB2312" w:cs="仿宋_GB2312"/>
          <w:color w:val="000000"/>
          <w:szCs w:val="32"/>
        </w:rPr>
        <w:t>竞委会组织进行评审。决赛评比</w:t>
      </w:r>
      <w:r>
        <w:rPr>
          <w:rFonts w:hint="eastAsia" w:hAnsi="仿宋_GB2312" w:cs="仿宋_GB2312"/>
          <w:color w:val="000000"/>
          <w:szCs w:val="32"/>
          <w:lang w:val="zh-TW" w:eastAsia="zh-TW"/>
        </w:rPr>
        <w:t>满分为</w:t>
      </w:r>
      <w:r>
        <w:rPr>
          <w:rFonts w:hint="eastAsia" w:hAnsi="仿宋_GB2312" w:cs="仿宋_GB2312"/>
          <w:color w:val="000000"/>
          <w:szCs w:val="32"/>
        </w:rPr>
        <w:t>100</w:t>
      </w:r>
      <w:r>
        <w:rPr>
          <w:rFonts w:hint="eastAsia" w:hAnsi="仿宋_GB2312" w:cs="仿宋_GB2312"/>
          <w:color w:val="000000"/>
          <w:szCs w:val="32"/>
          <w:lang w:val="zh-TW" w:eastAsia="zh-TW"/>
        </w:rPr>
        <w:t>分</w:t>
      </w:r>
      <w:r>
        <w:rPr>
          <w:rFonts w:hint="eastAsia" w:hAnsi="仿宋_GB2312" w:cs="仿宋_GB2312"/>
          <w:color w:val="000000"/>
          <w:szCs w:val="32"/>
          <w:lang w:val="zh-TW"/>
        </w:rPr>
        <w:t>，</w:t>
      </w:r>
      <w:r>
        <w:rPr>
          <w:rFonts w:hint="eastAsia" w:hAnsi="仿宋_GB2312" w:cs="仿宋_GB2312"/>
          <w:color w:val="000000"/>
          <w:szCs w:val="32"/>
          <w:lang w:val="zh-TW" w:eastAsia="zh-TW"/>
        </w:rPr>
        <w:t>其中动作</w:t>
      </w:r>
      <w:r>
        <w:rPr>
          <w:rFonts w:hint="eastAsia" w:hAnsi="仿宋_GB2312" w:cs="仿宋_GB2312"/>
          <w:color w:val="000000"/>
          <w:szCs w:val="32"/>
          <w:lang w:val="zh-TW"/>
        </w:rPr>
        <w:t>质量</w:t>
      </w:r>
      <w:r>
        <w:rPr>
          <w:rFonts w:hint="eastAsia" w:hAnsi="仿宋_GB2312" w:cs="仿宋_GB2312"/>
          <w:color w:val="000000"/>
          <w:szCs w:val="32"/>
        </w:rPr>
        <w:t>85</w:t>
      </w:r>
      <w:r>
        <w:rPr>
          <w:rFonts w:hint="eastAsia" w:hAnsi="仿宋_GB2312" w:cs="仿宋_GB2312"/>
          <w:color w:val="000000"/>
          <w:szCs w:val="32"/>
          <w:lang w:val="zh-TW" w:eastAsia="zh-TW"/>
        </w:rPr>
        <w:t>分</w:t>
      </w:r>
      <w:r>
        <w:rPr>
          <w:rFonts w:hint="eastAsia" w:hAnsi="仿宋_GB2312" w:cs="仿宋_GB2312"/>
          <w:color w:val="000000"/>
          <w:szCs w:val="32"/>
          <w:lang w:val="zh-TW"/>
        </w:rPr>
        <w:t>、</w:t>
      </w:r>
      <w:r>
        <w:rPr>
          <w:rFonts w:hint="eastAsia" w:hAnsi="仿宋_GB2312" w:cs="仿宋_GB2312"/>
          <w:color w:val="000000"/>
          <w:szCs w:val="32"/>
          <w:lang w:val="zh-TW" w:eastAsia="zh-TW"/>
        </w:rPr>
        <w:t>精神面貌</w:t>
      </w:r>
      <w:r>
        <w:rPr>
          <w:rFonts w:hint="eastAsia" w:hAnsi="仿宋_GB2312" w:cs="仿宋_GB2312"/>
          <w:color w:val="000000"/>
          <w:szCs w:val="32"/>
        </w:rPr>
        <w:t>15</w:t>
      </w:r>
      <w:r>
        <w:rPr>
          <w:rFonts w:hint="eastAsia" w:hAnsi="仿宋_GB2312" w:cs="仿宋_GB2312"/>
          <w:color w:val="000000"/>
          <w:szCs w:val="32"/>
          <w:lang w:val="zh-TW" w:eastAsia="zh-TW"/>
        </w:rPr>
        <w:t>分。</w:t>
      </w:r>
    </w:p>
    <w:p>
      <w:pPr>
        <w:pStyle w:val="5"/>
        <w:spacing w:line="500" w:lineRule="exact"/>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（二）奖励</w:t>
      </w:r>
    </w:p>
    <w:p>
      <w:pPr>
        <w:pStyle w:val="5"/>
        <w:spacing w:line="500" w:lineRule="exact"/>
        <w:rPr>
          <w:rFonts w:hint="eastAsia" w:hAnsi="仿宋_GB2312" w:cs="仿宋_GB2312"/>
          <w:color w:val="000000"/>
          <w:szCs w:val="32"/>
        </w:rPr>
      </w:pPr>
      <w:r>
        <w:rPr>
          <w:rFonts w:hint="eastAsia" w:hAnsi="仿宋_GB2312" w:cs="仿宋_GB2312"/>
          <w:color w:val="000000"/>
          <w:szCs w:val="32"/>
        </w:rPr>
        <w:t>对所有参加比赛的运动员颁发电子证书，成绩优异的队伍将代表北京市参加第十四届全运会广播体操项目比赛。</w:t>
      </w:r>
    </w:p>
    <w:p>
      <w:pPr>
        <w:pStyle w:val="4"/>
        <w:autoSpaceDE w:val="0"/>
        <w:autoSpaceDN w:val="0"/>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十二、技术官员</w:t>
      </w:r>
    </w:p>
    <w:p>
      <w:pPr>
        <w:pStyle w:val="5"/>
        <w:spacing w:line="500" w:lineRule="exact"/>
        <w:rPr>
          <w:rFonts w:hint="eastAsia" w:hAnsi="仿宋_GB2312" w:cs="仿宋_GB2312"/>
          <w:color w:val="000000"/>
          <w:szCs w:val="32"/>
        </w:rPr>
      </w:pPr>
      <w:r>
        <w:rPr>
          <w:rFonts w:hint="eastAsia" w:hAnsi="仿宋_GB2312" w:cs="仿宋_GB2312"/>
          <w:color w:val="000000"/>
          <w:szCs w:val="32"/>
        </w:rPr>
        <w:t>仲裁、裁判员及工作人员等技术官员，由竞委会选派。</w:t>
      </w:r>
    </w:p>
    <w:p>
      <w:pPr>
        <w:pStyle w:val="5"/>
        <w:spacing w:line="500" w:lineRule="exact"/>
        <w:rPr>
          <w:rFonts w:ascii="仿宋" w:hAnsi="仿宋" w:eastAsia="仿宋" w:cs="仿宋"/>
          <w:szCs w:val="32"/>
        </w:rPr>
        <w:sectPr>
          <w:headerReference r:id="rId3" w:type="default"/>
          <w:footerReference r:id="rId5" w:type="default"/>
          <w:headerReference r:id="rId4" w:type="even"/>
          <w:footerReference r:id="rId6" w:type="even"/>
          <w:pgSz w:w="11906" w:h="16838"/>
          <w:pgMar w:top="2098" w:right="1474" w:bottom="1985" w:left="1588" w:header="851" w:footer="1588" w:gutter="0"/>
          <w:cols w:space="720" w:num="1"/>
          <w:docGrid w:type="lines" w:linePitch="312" w:charSpace="0"/>
        </w:sectPr>
      </w:pPr>
      <w:r>
        <w:rPr>
          <w:rFonts w:hint="eastAsia" w:ascii="黑体" w:hAnsi="黑体" w:eastAsia="黑体" w:cs="黑体"/>
          <w:szCs w:val="32"/>
        </w:rPr>
        <w:t>十三、未尽事宜，另行通知。</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“我要上全运”北京市广场舞通讯选拔赛参赛项目报名表</w:t>
      </w:r>
    </w:p>
    <w:p>
      <w:pPr>
        <w:spacing w:before="200" w:after="200" w:line="600" w:lineRule="exact"/>
        <w:jc w:val="right"/>
        <w:rPr>
          <w:rFonts w:ascii="仿宋" w:hAnsi="仿宋" w:eastAsia="仿宋"/>
          <w:sz w:val="32"/>
          <w:szCs w:val="32"/>
        </w:rPr>
      </w:pPr>
      <w:r>
        <w:rPr>
          <w:rFonts w:hint="eastAsia" w:ascii="宋体" w:hAnsi="宋体"/>
          <w:sz w:val="32"/>
          <w:szCs w:val="32"/>
        </w:rPr>
        <w:t xml:space="preserve">                  </w:t>
      </w:r>
      <w:r>
        <w:rPr>
          <w:rFonts w:hint="eastAsia" w:ascii="仿宋" w:hAnsi="仿宋" w:eastAsia="仿宋"/>
          <w:sz w:val="32"/>
          <w:szCs w:val="32"/>
        </w:rPr>
        <w:t xml:space="preserve">  注：请在参加项目栏内打“√”。 </w:t>
      </w:r>
    </w:p>
    <w:tbl>
      <w:tblPr>
        <w:tblStyle w:val="10"/>
        <w:tblW w:w="5000" w:type="pct"/>
        <w:tblInd w:w="0" w:type="dxa"/>
        <w:tblLayout w:type="autofit"/>
        <w:tblCellMar>
          <w:top w:w="0" w:type="dxa"/>
          <w:left w:w="108" w:type="dxa"/>
          <w:bottom w:w="0" w:type="dxa"/>
          <w:right w:w="108" w:type="dxa"/>
        </w:tblCellMar>
      </w:tblPr>
      <w:tblGrid>
        <w:gridCol w:w="2965"/>
        <w:gridCol w:w="2965"/>
        <w:gridCol w:w="4198"/>
        <w:gridCol w:w="4046"/>
      </w:tblGrid>
      <w:tr>
        <w:tblPrEx>
          <w:tblCellMar>
            <w:top w:w="0" w:type="dxa"/>
            <w:left w:w="108" w:type="dxa"/>
            <w:bottom w:w="0" w:type="dxa"/>
            <w:right w:w="108" w:type="dxa"/>
          </w:tblCellMar>
        </w:tblPrEx>
        <w:trPr>
          <w:trHeight w:val="375" w:hRule="atLeast"/>
        </w:trPr>
        <w:tc>
          <w:tcPr>
            <w:tcW w:w="1046" w:type="pct"/>
            <w:tcBorders>
              <w:top w:val="single" w:color="auto" w:sz="4" w:space="0"/>
              <w:left w:val="single" w:color="auto" w:sz="4" w:space="0"/>
              <w:bottom w:val="single" w:color="000000"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单位名称</w:t>
            </w:r>
          </w:p>
        </w:tc>
        <w:tc>
          <w:tcPr>
            <w:tcW w:w="3954" w:type="pct"/>
            <w:gridSpan w:val="3"/>
            <w:tcBorders>
              <w:top w:val="single" w:color="auto" w:sz="4" w:space="0"/>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tcBorders>
              <w:top w:val="single" w:color="auto" w:sz="4" w:space="0"/>
              <w:left w:val="single" w:color="auto" w:sz="4" w:space="0"/>
              <w:bottom w:val="single" w:color="000000" w:sz="4" w:space="0"/>
              <w:right w:val="single" w:color="auto" w:sz="4" w:space="0"/>
            </w:tcBorders>
            <w:noWrap w:val="0"/>
            <w:vAlign w:val="top"/>
          </w:tcPr>
          <w:p>
            <w:pPr>
              <w:widowControl/>
              <w:spacing w:line="400" w:lineRule="exact"/>
              <w:jc w:val="center"/>
              <w:rPr>
                <w:rFonts w:hint="eastAsia" w:ascii="仿宋" w:hAnsi="仿宋" w:eastAsia="仿宋"/>
                <w:sz w:val="32"/>
                <w:szCs w:val="32"/>
              </w:rPr>
            </w:pPr>
            <w:r>
              <w:rPr>
                <w:rFonts w:hint="eastAsia" w:ascii="仿宋" w:hAnsi="仿宋" w:eastAsia="仿宋"/>
                <w:sz w:val="32"/>
                <w:szCs w:val="32"/>
              </w:rPr>
              <w:t>联系人1</w:t>
            </w:r>
          </w:p>
        </w:tc>
        <w:tc>
          <w:tcPr>
            <w:tcW w:w="1046" w:type="pct"/>
            <w:tcBorders>
              <w:top w:val="single" w:color="auto" w:sz="4" w:space="0"/>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 w:hAnsi="仿宋" w:eastAsia="仿宋" w:cs="宋体"/>
                <w:kern w:val="0"/>
                <w:sz w:val="32"/>
                <w:szCs w:val="32"/>
              </w:rPr>
            </w:pPr>
          </w:p>
        </w:tc>
        <w:tc>
          <w:tcPr>
            <w:tcW w:w="1481" w:type="pct"/>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sz w:val="32"/>
                <w:szCs w:val="32"/>
              </w:rPr>
              <w:t>联系方式</w:t>
            </w:r>
          </w:p>
        </w:tc>
        <w:tc>
          <w:tcPr>
            <w:tcW w:w="1428" w:type="pct"/>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tcBorders>
              <w:top w:val="single" w:color="auto" w:sz="4" w:space="0"/>
              <w:left w:val="single" w:color="auto" w:sz="4" w:space="0"/>
              <w:bottom w:val="single" w:color="000000" w:sz="4" w:space="0"/>
              <w:right w:val="single" w:color="auto" w:sz="4" w:space="0"/>
            </w:tcBorders>
            <w:noWrap w:val="0"/>
            <w:vAlign w:val="top"/>
          </w:tcPr>
          <w:p>
            <w:pPr>
              <w:widowControl/>
              <w:spacing w:line="400" w:lineRule="exact"/>
              <w:jc w:val="center"/>
              <w:rPr>
                <w:rFonts w:hint="eastAsia" w:ascii="仿宋" w:hAnsi="仿宋" w:eastAsia="仿宋"/>
                <w:sz w:val="32"/>
                <w:szCs w:val="32"/>
              </w:rPr>
            </w:pPr>
            <w:r>
              <w:rPr>
                <w:rFonts w:hint="eastAsia" w:ascii="仿宋" w:hAnsi="仿宋" w:eastAsia="仿宋"/>
                <w:sz w:val="32"/>
                <w:szCs w:val="32"/>
              </w:rPr>
              <w:t xml:space="preserve">联系人2 </w:t>
            </w:r>
          </w:p>
        </w:tc>
        <w:tc>
          <w:tcPr>
            <w:tcW w:w="1046" w:type="pct"/>
            <w:tcBorders>
              <w:top w:val="single" w:color="auto" w:sz="4" w:space="0"/>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sz w:val="32"/>
                <w:szCs w:val="32"/>
              </w:rPr>
              <w:t xml:space="preserve">   </w:t>
            </w:r>
          </w:p>
        </w:tc>
        <w:tc>
          <w:tcPr>
            <w:tcW w:w="1481" w:type="pct"/>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sz w:val="32"/>
                <w:szCs w:val="32"/>
              </w:rPr>
              <w:t>联系方式</w:t>
            </w:r>
          </w:p>
        </w:tc>
        <w:tc>
          <w:tcPr>
            <w:tcW w:w="1428" w:type="pct"/>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restart"/>
            <w:tcBorders>
              <w:top w:val="single" w:color="auto" w:sz="4" w:space="0"/>
              <w:left w:val="single" w:color="auto" w:sz="4" w:space="0"/>
              <w:right w:val="single" w:color="auto" w:sz="4" w:space="0"/>
            </w:tcBorders>
            <w:noWrap w:val="0"/>
            <w:vAlign w:val="top"/>
          </w:tcPr>
          <w:p>
            <w:pPr>
              <w:widowControl/>
              <w:spacing w:line="400" w:lineRule="exact"/>
              <w:jc w:val="center"/>
              <w:rPr>
                <w:rFonts w:ascii="仿宋" w:hAnsi="仿宋" w:eastAsia="仿宋" w:cs="宋体"/>
                <w:kern w:val="0"/>
                <w:sz w:val="32"/>
                <w:szCs w:val="32"/>
              </w:rPr>
            </w:pPr>
          </w:p>
          <w:p>
            <w:pPr>
              <w:widowControl/>
              <w:spacing w:line="400" w:lineRule="exact"/>
              <w:jc w:val="center"/>
              <w:rPr>
                <w:rFonts w:ascii="仿宋" w:hAnsi="仿宋" w:eastAsia="仿宋" w:cs="宋体"/>
                <w:kern w:val="0"/>
                <w:sz w:val="32"/>
                <w:szCs w:val="32"/>
              </w:rPr>
            </w:pPr>
          </w:p>
          <w:p>
            <w:pPr>
              <w:widowControl/>
              <w:spacing w:line="400" w:lineRule="exact"/>
              <w:jc w:val="center"/>
              <w:rPr>
                <w:rFonts w:ascii="仿宋" w:hAnsi="仿宋" w:eastAsia="仿宋" w:cs="宋体"/>
                <w:kern w:val="0"/>
                <w:sz w:val="32"/>
                <w:szCs w:val="32"/>
              </w:rPr>
            </w:pPr>
          </w:p>
          <w:p>
            <w:pPr>
              <w:widowControl/>
              <w:spacing w:line="400" w:lineRule="exact"/>
              <w:jc w:val="center"/>
              <w:rPr>
                <w:rFonts w:ascii="仿宋" w:hAnsi="仿宋" w:eastAsia="仿宋" w:cs="宋体"/>
                <w:kern w:val="0"/>
                <w:sz w:val="32"/>
                <w:szCs w:val="32"/>
              </w:rPr>
            </w:pPr>
          </w:p>
          <w:p>
            <w:pPr>
              <w:widowControl/>
              <w:spacing w:line="400" w:lineRule="exact"/>
              <w:jc w:val="center"/>
              <w:rPr>
                <w:rFonts w:ascii="仿宋" w:hAnsi="仿宋" w:eastAsia="仿宋" w:cs="宋体"/>
                <w:kern w:val="0"/>
                <w:sz w:val="32"/>
                <w:szCs w:val="32"/>
              </w:rPr>
            </w:pPr>
          </w:p>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广场舞</w:t>
            </w:r>
          </w:p>
        </w:tc>
        <w:tc>
          <w:tcPr>
            <w:tcW w:w="1046" w:type="pct"/>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健身舞</w:t>
            </w:r>
          </w:p>
        </w:tc>
        <w:tc>
          <w:tcPr>
            <w:tcW w:w="1481" w:type="pc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城市街道（社区）组</w:t>
            </w:r>
          </w:p>
        </w:tc>
        <w:tc>
          <w:tcPr>
            <w:tcW w:w="1428" w:type="pct"/>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left"/>
              <w:rPr>
                <w:rFonts w:ascii="仿宋" w:hAnsi="仿宋" w:eastAsia="仿宋" w:cs="宋体"/>
                <w:kern w:val="0"/>
                <w:sz w:val="32"/>
                <w:szCs w:val="32"/>
              </w:rPr>
            </w:pPr>
          </w:p>
        </w:tc>
        <w:tc>
          <w:tcPr>
            <w:tcW w:w="1046"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kern w:val="0"/>
                <w:sz w:val="32"/>
                <w:szCs w:val="32"/>
              </w:rPr>
            </w:pP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农村乡镇组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left"/>
              <w:rPr>
                <w:rFonts w:ascii="仿宋" w:hAnsi="仿宋" w:eastAsia="仿宋" w:cs="宋体"/>
                <w:kern w:val="0"/>
                <w:sz w:val="32"/>
                <w:szCs w:val="32"/>
              </w:rPr>
            </w:pPr>
          </w:p>
        </w:tc>
        <w:tc>
          <w:tcPr>
            <w:tcW w:w="1046"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kern w:val="0"/>
                <w:sz w:val="32"/>
                <w:szCs w:val="32"/>
              </w:rPr>
            </w:pP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企事业单位组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c>
          <w:tcPr>
            <w:tcW w:w="1046" w:type="pct"/>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健身秧歌（鼓）</w:t>
            </w: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城市街道（社区）组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left"/>
              <w:rPr>
                <w:rFonts w:ascii="仿宋" w:hAnsi="仿宋" w:eastAsia="仿宋" w:cs="宋体"/>
                <w:kern w:val="0"/>
                <w:sz w:val="32"/>
                <w:szCs w:val="32"/>
              </w:rPr>
            </w:pPr>
          </w:p>
        </w:tc>
        <w:tc>
          <w:tcPr>
            <w:tcW w:w="104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kern w:val="0"/>
                <w:sz w:val="32"/>
                <w:szCs w:val="32"/>
              </w:rPr>
            </w:pP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农村乡镇组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left"/>
              <w:rPr>
                <w:rFonts w:ascii="仿宋" w:hAnsi="仿宋" w:eastAsia="仿宋" w:cs="宋体"/>
                <w:kern w:val="0"/>
                <w:sz w:val="32"/>
                <w:szCs w:val="32"/>
              </w:rPr>
            </w:pPr>
          </w:p>
        </w:tc>
        <w:tc>
          <w:tcPr>
            <w:tcW w:w="104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kern w:val="0"/>
                <w:sz w:val="32"/>
                <w:szCs w:val="32"/>
              </w:rPr>
            </w:pP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企事业单位组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c>
          <w:tcPr>
            <w:tcW w:w="1046" w:type="pct"/>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广场龙舞</w:t>
            </w: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城市街道（社区）组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right w:val="single" w:color="auto" w:sz="4" w:space="0"/>
            </w:tcBorders>
            <w:noWrap w:val="0"/>
            <w:vAlign w:val="top"/>
          </w:tcPr>
          <w:p>
            <w:pPr>
              <w:widowControl/>
              <w:spacing w:line="400" w:lineRule="exact"/>
              <w:jc w:val="left"/>
              <w:rPr>
                <w:rFonts w:ascii="仿宋" w:hAnsi="仿宋" w:eastAsia="仿宋" w:cs="宋体"/>
                <w:kern w:val="0"/>
                <w:sz w:val="32"/>
                <w:szCs w:val="32"/>
              </w:rPr>
            </w:pPr>
          </w:p>
        </w:tc>
        <w:tc>
          <w:tcPr>
            <w:tcW w:w="104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kern w:val="0"/>
                <w:sz w:val="32"/>
                <w:szCs w:val="32"/>
              </w:rPr>
            </w:pP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农村乡镇组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r>
        <w:tblPrEx>
          <w:tblCellMar>
            <w:top w:w="0" w:type="dxa"/>
            <w:left w:w="108" w:type="dxa"/>
            <w:bottom w:w="0" w:type="dxa"/>
            <w:right w:w="108" w:type="dxa"/>
          </w:tblCellMar>
        </w:tblPrEx>
        <w:trPr>
          <w:trHeight w:val="375" w:hRule="atLeast"/>
        </w:trPr>
        <w:tc>
          <w:tcPr>
            <w:tcW w:w="1046" w:type="pct"/>
            <w:vMerge w:val="continue"/>
            <w:tcBorders>
              <w:left w:val="single" w:color="auto" w:sz="4" w:space="0"/>
              <w:bottom w:val="single" w:color="000000" w:sz="4" w:space="0"/>
              <w:right w:val="single" w:color="auto" w:sz="4" w:space="0"/>
            </w:tcBorders>
            <w:noWrap w:val="0"/>
            <w:vAlign w:val="top"/>
          </w:tcPr>
          <w:p>
            <w:pPr>
              <w:widowControl/>
              <w:spacing w:line="400" w:lineRule="exact"/>
              <w:jc w:val="left"/>
              <w:rPr>
                <w:rFonts w:ascii="仿宋" w:hAnsi="仿宋" w:eastAsia="仿宋" w:cs="宋体"/>
                <w:kern w:val="0"/>
                <w:sz w:val="32"/>
                <w:szCs w:val="32"/>
              </w:rPr>
            </w:pPr>
          </w:p>
        </w:tc>
        <w:tc>
          <w:tcPr>
            <w:tcW w:w="1046" w:type="pct"/>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仿宋" w:hAnsi="仿宋" w:eastAsia="仿宋" w:cs="宋体"/>
                <w:kern w:val="0"/>
                <w:sz w:val="32"/>
                <w:szCs w:val="32"/>
              </w:rPr>
            </w:pPr>
          </w:p>
        </w:tc>
        <w:tc>
          <w:tcPr>
            <w:tcW w:w="148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kern w:val="0"/>
                <w:sz w:val="32"/>
                <w:szCs w:val="32"/>
              </w:rPr>
            </w:pPr>
            <w:r>
              <w:rPr>
                <w:rFonts w:hint="eastAsia" w:ascii="仿宋" w:hAnsi="仿宋" w:eastAsia="仿宋" w:cs="宋体"/>
                <w:kern w:val="0"/>
                <w:sz w:val="32"/>
                <w:szCs w:val="32"/>
              </w:rPr>
              <w:t>企事业单位组</w:t>
            </w:r>
          </w:p>
        </w:tc>
        <w:tc>
          <w:tcPr>
            <w:tcW w:w="1428" w:type="pct"/>
            <w:tcBorders>
              <w:top w:val="nil"/>
              <w:left w:val="nil"/>
              <w:bottom w:val="single" w:color="auto" w:sz="4" w:space="0"/>
              <w:right w:val="single" w:color="auto" w:sz="4" w:space="0"/>
            </w:tcBorders>
            <w:noWrap w:val="0"/>
            <w:vAlign w:val="top"/>
          </w:tcPr>
          <w:p>
            <w:pPr>
              <w:widowControl/>
              <w:spacing w:line="400" w:lineRule="exact"/>
              <w:jc w:val="center"/>
              <w:rPr>
                <w:rFonts w:hint="eastAsia" w:ascii="仿宋" w:hAnsi="仿宋" w:eastAsia="仿宋" w:cs="宋体"/>
                <w:kern w:val="0"/>
                <w:sz w:val="32"/>
                <w:szCs w:val="32"/>
              </w:rPr>
            </w:pPr>
          </w:p>
        </w:tc>
      </w:tr>
    </w:tbl>
    <w:p>
      <w:pPr>
        <w:widowControl/>
        <w:spacing w:line="600" w:lineRule="exact"/>
        <w:jc w:val="left"/>
        <w:rPr>
          <w:rFonts w:ascii="仿宋" w:hAnsi="仿宋" w:eastAsia="仿宋"/>
          <w:sz w:val="32"/>
          <w:szCs w:val="32"/>
        </w:rPr>
      </w:pPr>
      <w:r>
        <w:rPr>
          <w:rFonts w:ascii="宋体" w:hAnsi="宋体"/>
          <w:sz w:val="32"/>
          <w:szCs w:val="32"/>
        </w:rPr>
        <w:t xml:space="preserve">                                                         </w:t>
      </w:r>
      <w:r>
        <w:rPr>
          <w:rFonts w:ascii="仿宋" w:hAnsi="仿宋" w:eastAsia="仿宋"/>
          <w:sz w:val="32"/>
          <w:szCs w:val="32"/>
        </w:rPr>
        <w:t xml:space="preserve">             </w:t>
      </w:r>
      <w:r>
        <w:rPr>
          <w:rFonts w:hint="eastAsia" w:ascii="仿宋" w:hAnsi="仿宋" w:eastAsia="仿宋"/>
          <w:sz w:val="32"/>
          <w:szCs w:val="32"/>
        </w:rPr>
        <w:t>主管</w:t>
      </w:r>
      <w:r>
        <w:rPr>
          <w:rFonts w:ascii="仿宋" w:hAnsi="仿宋" w:eastAsia="仿宋"/>
          <w:sz w:val="32"/>
          <w:szCs w:val="32"/>
        </w:rPr>
        <w:t>单位（</w:t>
      </w:r>
      <w:r>
        <w:rPr>
          <w:rFonts w:hint="eastAsia" w:ascii="仿宋" w:hAnsi="仿宋" w:eastAsia="仿宋"/>
          <w:sz w:val="32"/>
          <w:szCs w:val="32"/>
        </w:rPr>
        <w:t>公</w:t>
      </w:r>
      <w:r>
        <w:rPr>
          <w:rFonts w:ascii="仿宋" w:hAnsi="仿宋" w:eastAsia="仿宋"/>
          <w:sz w:val="32"/>
          <w:szCs w:val="32"/>
        </w:rPr>
        <w:t>章）</w:t>
      </w:r>
    </w:p>
    <w:p>
      <w:pPr>
        <w:widowControl/>
        <w:spacing w:line="600" w:lineRule="exact"/>
        <w:jc w:val="left"/>
        <w:rPr>
          <w:rFonts w:hint="eastAsia" w:ascii="仿宋" w:hAnsi="仿宋" w:eastAsia="仿宋"/>
          <w:sz w:val="32"/>
          <w:szCs w:val="32"/>
        </w:rPr>
      </w:pPr>
      <w:r>
        <w:rPr>
          <w:rFonts w:ascii="仿宋" w:hAnsi="仿宋" w:eastAsia="仿宋"/>
          <w:sz w:val="32"/>
          <w:szCs w:val="32"/>
        </w:rPr>
        <w:t xml:space="preserve">                                                                    20</w:t>
      </w:r>
      <w:r>
        <w:rPr>
          <w:rFonts w:hint="eastAsia" w:ascii="仿宋" w:hAnsi="仿宋" w:eastAsia="仿宋"/>
          <w:sz w:val="32"/>
          <w:szCs w:val="32"/>
        </w:rPr>
        <w:t>21</w:t>
      </w:r>
      <w:r>
        <w:rPr>
          <w:rFonts w:ascii="仿宋" w:hAnsi="仿宋" w:eastAsia="仿宋"/>
          <w:sz w:val="32"/>
          <w:szCs w:val="32"/>
        </w:rPr>
        <w:t>年   月    日</w:t>
      </w:r>
    </w:p>
    <w:p>
      <w:pPr>
        <w:spacing w:line="560" w:lineRule="exact"/>
        <w:jc w:val="center"/>
        <w:rPr>
          <w:rFonts w:hint="eastAsia" w:ascii="方正小标宋简体" w:eastAsia="方正小标宋简体"/>
          <w:color w:val="000000"/>
          <w:spacing w:val="-20"/>
          <w:sz w:val="44"/>
          <w:szCs w:val="44"/>
        </w:rPr>
        <w:sectPr>
          <w:headerReference r:id="rId7" w:type="default"/>
          <w:pgSz w:w="16838" w:h="11906" w:orient="landscape"/>
          <w:pgMar w:top="1800" w:right="1440" w:bottom="1800" w:left="1440" w:header="851" w:footer="1587" w:gutter="0"/>
          <w:cols w:space="720" w:num="1"/>
          <w:rtlGutter w:val="1"/>
          <w:docGrid w:type="lines" w:linePitch="312" w:charSpace="0"/>
        </w:sect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“我要上全运”北京市广场舞通讯选拔赛</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参赛人员报名表</w:t>
      </w:r>
    </w:p>
    <w:p>
      <w:pPr>
        <w:spacing w:line="560" w:lineRule="exact"/>
        <w:jc w:val="center"/>
        <w:rPr>
          <w:rFonts w:hint="eastAsia" w:ascii="方正小标宋简体" w:eastAsia="方正小标宋简体"/>
          <w:color w:val="000000"/>
          <w:sz w:val="44"/>
          <w:szCs w:val="44"/>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646"/>
        <w:gridCol w:w="488"/>
        <w:gridCol w:w="1167"/>
        <w:gridCol w:w="858"/>
        <w:gridCol w:w="603"/>
        <w:gridCol w:w="601"/>
        <w:gridCol w:w="94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单位名称</w:t>
            </w:r>
          </w:p>
        </w:tc>
        <w:tc>
          <w:tcPr>
            <w:tcW w:w="1335" w:type="pct"/>
            <w:gridSpan w:val="3"/>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联系人</w:t>
            </w:r>
          </w:p>
        </w:tc>
        <w:tc>
          <w:tcPr>
            <w:tcW w:w="699"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联系  方式</w:t>
            </w:r>
          </w:p>
        </w:tc>
        <w:tc>
          <w:tcPr>
            <w:tcW w:w="1273"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ascii="仿宋" w:hAnsi="仿宋" w:eastAsia="仿宋"/>
                <w:sz w:val="18"/>
                <w:szCs w:val="18"/>
              </w:rPr>
              <w:t>分</w:t>
            </w:r>
            <w:r>
              <w:rPr>
                <w:rFonts w:hint="eastAsia" w:ascii="仿宋" w:hAnsi="仿宋" w:eastAsia="仿宋"/>
                <w:sz w:val="18"/>
                <w:szCs w:val="18"/>
              </w:rPr>
              <w:t>项</w:t>
            </w:r>
          </w:p>
        </w:tc>
        <w:tc>
          <w:tcPr>
            <w:tcW w:w="65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组别</w:t>
            </w:r>
          </w:p>
        </w:tc>
        <w:tc>
          <w:tcPr>
            <w:tcW w:w="3018" w:type="pct"/>
            <w:gridSpan w:val="5"/>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代表队  名称</w:t>
            </w:r>
          </w:p>
        </w:tc>
        <w:tc>
          <w:tcPr>
            <w:tcW w:w="65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参赛作品 名称</w:t>
            </w:r>
          </w:p>
        </w:tc>
        <w:tc>
          <w:tcPr>
            <w:tcW w:w="3018" w:type="pct"/>
            <w:gridSpan w:val="5"/>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职</w:t>
            </w:r>
            <w:r>
              <w:rPr>
                <w:rFonts w:hint="eastAsia" w:ascii="仿宋" w:hAnsi="仿宋" w:eastAsia="仿宋"/>
                <w:sz w:val="18"/>
                <w:szCs w:val="18"/>
              </w:rPr>
              <w:t xml:space="preserve">  </w:t>
            </w:r>
            <w:r>
              <w:rPr>
                <w:rFonts w:ascii="仿宋" w:hAnsi="仿宋" w:eastAsia="仿宋"/>
                <w:sz w:val="18"/>
                <w:szCs w:val="18"/>
              </w:rPr>
              <w:t>务</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姓  名</w:t>
            </w:r>
          </w:p>
        </w:tc>
        <w:tc>
          <w:tcPr>
            <w:tcW w:w="283"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r>
              <w:rPr>
                <w:rFonts w:hint="eastAsia" w:ascii="仿宋" w:hAnsi="仿宋" w:eastAsia="仿宋"/>
                <w:sz w:val="18"/>
                <w:szCs w:val="18"/>
              </w:rPr>
              <w:t>性别</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民族</w:t>
            </w: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证件类型：个人身份证、港澳居民来往内地通行证、台湾居民来往大陆通行证或台湾居民居住证</w:t>
            </w:r>
          </w:p>
        </w:tc>
        <w:tc>
          <w:tcPr>
            <w:tcW w:w="2170" w:type="pct"/>
            <w:gridSpan w:val="3"/>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47" w:type="pc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领</w:t>
            </w:r>
            <w:r>
              <w:rPr>
                <w:rFonts w:hint="eastAsia" w:ascii="仿宋" w:hAnsi="仿宋" w:eastAsia="仿宋"/>
                <w:sz w:val="18"/>
                <w:szCs w:val="18"/>
              </w:rPr>
              <w:t xml:space="preserve">  </w:t>
            </w:r>
            <w:r>
              <w:rPr>
                <w:rFonts w:ascii="仿宋" w:hAnsi="仿宋" w:eastAsia="仿宋"/>
                <w:sz w:val="18"/>
                <w:szCs w:val="18"/>
              </w:rPr>
              <w:t>队</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47" w:type="pc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ascii="仿宋" w:hAnsi="仿宋" w:eastAsia="仿宋"/>
                <w:sz w:val="18"/>
                <w:szCs w:val="18"/>
              </w:rPr>
              <w:t>教</w:t>
            </w:r>
            <w:r>
              <w:rPr>
                <w:rFonts w:hint="eastAsia" w:ascii="仿宋" w:hAnsi="仿宋" w:eastAsia="仿宋"/>
                <w:sz w:val="18"/>
                <w:szCs w:val="18"/>
              </w:rPr>
              <w:t xml:space="preserve">  </w:t>
            </w:r>
            <w:r>
              <w:rPr>
                <w:rFonts w:ascii="仿宋" w:hAnsi="仿宋" w:eastAsia="仿宋"/>
                <w:sz w:val="18"/>
                <w:szCs w:val="18"/>
              </w:rPr>
              <w:t>练</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47" w:type="pct"/>
            <w:vMerge w:val="restart"/>
            <w:tcBorders>
              <w:top w:val="single" w:color="auto" w:sz="4" w:space="0"/>
              <w:left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p>
            <w:pPr>
              <w:spacing w:line="200" w:lineRule="exact"/>
              <w:jc w:val="center"/>
              <w:rPr>
                <w:rFonts w:ascii="仿宋" w:hAnsi="仿宋" w:eastAsia="仿宋"/>
                <w:sz w:val="18"/>
                <w:szCs w:val="18"/>
              </w:rPr>
            </w:pPr>
            <w:r>
              <w:rPr>
                <w:rFonts w:ascii="仿宋" w:hAnsi="仿宋" w:eastAsia="仿宋"/>
                <w:sz w:val="18"/>
                <w:szCs w:val="18"/>
              </w:rPr>
              <w:t>运</w:t>
            </w:r>
          </w:p>
          <w:p>
            <w:pPr>
              <w:spacing w:line="200" w:lineRule="exact"/>
              <w:jc w:val="center"/>
              <w:rPr>
                <w:rFonts w:ascii="仿宋" w:hAnsi="仿宋" w:eastAsia="仿宋"/>
                <w:sz w:val="18"/>
                <w:szCs w:val="18"/>
              </w:rPr>
            </w:pPr>
            <w:r>
              <w:rPr>
                <w:rFonts w:ascii="仿宋" w:hAnsi="仿宋" w:eastAsia="仿宋"/>
                <w:sz w:val="18"/>
                <w:szCs w:val="18"/>
              </w:rPr>
              <w:t>动</w:t>
            </w:r>
          </w:p>
          <w:p>
            <w:pPr>
              <w:spacing w:line="200" w:lineRule="exact"/>
              <w:jc w:val="center"/>
              <w:rPr>
                <w:rFonts w:ascii="仿宋" w:hAnsi="仿宋" w:eastAsia="仿宋"/>
                <w:sz w:val="18"/>
                <w:szCs w:val="18"/>
              </w:rPr>
            </w:pPr>
            <w:r>
              <w:rPr>
                <w:rFonts w:ascii="仿宋" w:hAnsi="仿宋" w:eastAsia="仿宋"/>
                <w:sz w:val="18"/>
                <w:szCs w:val="18"/>
              </w:rPr>
              <w:t>员</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1</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hint="eastAsia"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2</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3</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4</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5</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6</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7</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8</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9</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10</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11</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12</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13</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14</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15</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7" w:type="pct"/>
            <w:vMerge w:val="continue"/>
            <w:tcBorders>
              <w:left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r>
              <w:rPr>
                <w:rFonts w:hint="eastAsia" w:ascii="仿宋" w:hAnsi="仿宋" w:eastAsia="仿宋"/>
                <w:sz w:val="18"/>
                <w:szCs w:val="18"/>
              </w:rPr>
              <w:t>16</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47" w:type="pct"/>
            <w:vMerge w:val="restart"/>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r>
              <w:rPr>
                <w:rFonts w:hint="eastAsia" w:ascii="仿宋" w:hAnsi="仿宋" w:eastAsia="仿宋"/>
                <w:sz w:val="18"/>
                <w:szCs w:val="18"/>
              </w:rPr>
              <w:t>替补队员</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1</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47" w:type="pct"/>
            <w:vMerge w:val="continue"/>
            <w:tcBorders>
              <w:left w:val="single" w:color="auto" w:sz="4" w:space="0"/>
              <w:right w:val="single" w:color="auto" w:sz="4" w:space="0"/>
            </w:tcBorders>
            <w:noWrap w:val="0"/>
            <w:vAlign w:val="center"/>
          </w:tcPr>
          <w:p>
            <w:pPr>
              <w:spacing w:line="200" w:lineRule="exact"/>
              <w:jc w:val="center"/>
              <w:rPr>
                <w:rFonts w:hint="eastAsia" w:ascii="仿宋" w:hAnsi="仿宋" w:eastAsia="仿宋"/>
                <w:sz w:val="18"/>
                <w:szCs w:val="18"/>
              </w:rPr>
            </w:pP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hint="eastAsia" w:ascii="仿宋" w:hAnsi="仿宋" w:eastAsia="仿宋"/>
                <w:sz w:val="18"/>
                <w:szCs w:val="18"/>
              </w:rPr>
            </w:pPr>
            <w:r>
              <w:rPr>
                <w:rFonts w:hint="eastAsia" w:ascii="仿宋" w:hAnsi="仿宋" w:eastAsia="仿宋"/>
                <w:sz w:val="18"/>
                <w:szCs w:val="18"/>
              </w:rPr>
              <w:t>2</w:t>
            </w:r>
          </w:p>
        </w:tc>
        <w:tc>
          <w:tcPr>
            <w:tcW w:w="283" w:type="pct"/>
            <w:tcBorders>
              <w:top w:val="single" w:color="auto" w:sz="4" w:space="0"/>
              <w:left w:val="single" w:color="auto" w:sz="4" w:space="0"/>
              <w:bottom w:val="single" w:color="auto" w:sz="4" w:space="0"/>
              <w:right w:val="single" w:color="auto" w:sz="4" w:space="0"/>
            </w:tcBorders>
            <w:noWrap w:val="0"/>
            <w:vAlign w:val="top"/>
          </w:tcPr>
          <w:p>
            <w:pPr>
              <w:spacing w:line="200" w:lineRule="exact"/>
              <w:rPr>
                <w:rFonts w:ascii="仿宋" w:hAnsi="仿宋" w:eastAsia="仿宋"/>
                <w:sz w:val="18"/>
                <w:szCs w:val="18"/>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848" w:type="pct"/>
            <w:gridSpan w:val="2"/>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sz w:val="18"/>
                <w:szCs w:val="18"/>
              </w:rPr>
            </w:pPr>
          </w:p>
        </w:tc>
        <w:tc>
          <w:tcPr>
            <w:tcW w:w="2170" w:type="pct"/>
            <w:gridSpan w:val="3"/>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sz w:val="18"/>
                <w:szCs w:val="18"/>
              </w:rPr>
            </w:pPr>
          </w:p>
        </w:tc>
      </w:tr>
    </w:tbl>
    <w:p>
      <w:pPr>
        <w:widowControl/>
        <w:wordWrap w:val="0"/>
        <w:spacing w:line="600" w:lineRule="exact"/>
        <w:ind w:right="280"/>
        <w:jc w:val="right"/>
        <w:rPr>
          <w:rFonts w:ascii="宋体" w:hAnsi="宋体"/>
          <w:sz w:val="32"/>
          <w:szCs w:val="32"/>
        </w:rPr>
      </w:pPr>
      <w:r>
        <w:rPr>
          <w:rFonts w:ascii="宋体" w:hAnsi="宋体"/>
          <w:sz w:val="32"/>
          <w:szCs w:val="32"/>
        </w:rPr>
        <w:t xml:space="preserve">     </w:t>
      </w:r>
    </w:p>
    <w:p>
      <w:pPr>
        <w:widowControl/>
        <w:wordWrap w:val="0"/>
        <w:spacing w:line="600" w:lineRule="exact"/>
        <w:ind w:right="280"/>
        <w:jc w:val="right"/>
        <w:rPr>
          <w:rFonts w:ascii="宋体" w:hAnsi="宋体"/>
          <w:sz w:val="32"/>
          <w:szCs w:val="32"/>
        </w:rPr>
      </w:pPr>
    </w:p>
    <w:p>
      <w:pPr>
        <w:widowControl/>
        <w:wordWrap w:val="0"/>
        <w:spacing w:line="600" w:lineRule="exact"/>
        <w:ind w:right="280"/>
        <w:jc w:val="right"/>
        <w:rPr>
          <w:rFonts w:ascii="仿宋" w:hAnsi="仿宋" w:eastAsia="仿宋"/>
          <w:sz w:val="32"/>
          <w:szCs w:val="32"/>
        </w:rPr>
      </w:pPr>
      <w:r>
        <w:rPr>
          <w:rFonts w:hint="eastAsia" w:ascii="仿宋" w:hAnsi="仿宋" w:eastAsia="仿宋"/>
          <w:sz w:val="32"/>
          <w:szCs w:val="32"/>
        </w:rPr>
        <w:t>主管</w:t>
      </w:r>
      <w:r>
        <w:rPr>
          <w:rFonts w:ascii="仿宋" w:hAnsi="仿宋" w:eastAsia="仿宋"/>
          <w:sz w:val="32"/>
          <w:szCs w:val="32"/>
        </w:rPr>
        <w:t>单位（章）</w:t>
      </w:r>
      <w:r>
        <w:rPr>
          <w:rFonts w:hint="eastAsia" w:ascii="仿宋" w:hAnsi="仿宋" w:eastAsia="仿宋"/>
          <w:sz w:val="32"/>
          <w:szCs w:val="32"/>
        </w:rPr>
        <w:t xml:space="preserve">     </w:t>
      </w:r>
      <w:r>
        <w:rPr>
          <w:rFonts w:ascii="仿宋" w:hAnsi="仿宋" w:eastAsia="仿宋"/>
          <w:sz w:val="32"/>
          <w:szCs w:val="32"/>
        </w:rPr>
        <w:t xml:space="preserve">   </w:t>
      </w:r>
    </w:p>
    <w:p>
      <w:pPr>
        <w:spacing w:line="600" w:lineRule="exact"/>
        <w:ind w:left="4480" w:hanging="4480" w:hangingChars="1400"/>
        <w:rPr>
          <w:rFonts w:hint="eastAsia" w:ascii="仿宋" w:hAnsi="仿宋" w:eastAsia="仿宋"/>
          <w:sz w:val="32"/>
          <w:szCs w:val="32"/>
          <w:lang w:val="en-US" w:eastAsia="zh-CN"/>
        </w:rPr>
        <w:sectPr>
          <w:pgSz w:w="11906" w:h="16838"/>
          <w:pgMar w:top="2098" w:right="1918" w:bottom="1985" w:left="1588" w:header="851" w:footer="1587" w:gutter="0"/>
          <w:cols w:space="720" w:num="1"/>
          <w:docGrid w:type="lines" w:linePitch="312" w:charSpace="0"/>
        </w:sect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 xml:space="preserve">年   月   </w:t>
      </w:r>
      <w:r>
        <w:rPr>
          <w:rFonts w:hint="eastAsia" w:ascii="仿宋" w:hAnsi="仿宋" w:eastAsia="仿宋"/>
          <w:sz w:val="32"/>
          <w:szCs w:val="32"/>
          <w:lang w:val="en-US" w:eastAsia="zh-CN"/>
        </w:rPr>
        <w:t>日</w:t>
      </w:r>
      <w:bookmarkStart w:id="1" w:name="_GoBack"/>
      <w:bookmarkEnd w:id="1"/>
    </w:p>
    <w:p>
      <w:pPr>
        <w:spacing w:line="320" w:lineRule="exact"/>
        <w:rPr>
          <w:rFonts w:hint="eastAsia"/>
        </w:rPr>
      </w:pPr>
    </w:p>
    <w:sectPr>
      <w:headerReference r:id="rId8" w:type="default"/>
      <w:footerReference r:id="rId10" w:type="default"/>
      <w:headerReference r:id="rId9" w:type="even"/>
      <w:footerReference r:id="rId11" w:type="even"/>
      <w:pgSz w:w="11906" w:h="16838"/>
      <w:pgMar w:top="2098" w:right="1474" w:bottom="1985" w:left="1588" w:header="851" w:footer="1588" w:gutter="0"/>
      <w:pgNumType w:fmt="numberInDash"/>
      <w:cols w:space="720" w:num="1"/>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jc w:val="right"/>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18</w:t>
    </w:r>
    <w:r>
      <w:rPr>
        <w:rFonts w:hint="eastAsia"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- 25 -</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420" w:leftChars="200" w:right="420" w:rightChars="2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- 26 -</w:t>
    </w:r>
    <w:r>
      <w:rPr>
        <w:rFonts w:hint="eastAsia"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6A"/>
    <w:rsid w:val="00005500"/>
    <w:rsid w:val="00053639"/>
    <w:rsid w:val="00083E58"/>
    <w:rsid w:val="000A44BA"/>
    <w:rsid w:val="000B6EB8"/>
    <w:rsid w:val="000E16A5"/>
    <w:rsid w:val="00141FD6"/>
    <w:rsid w:val="0014584B"/>
    <w:rsid w:val="00177C10"/>
    <w:rsid w:val="00180335"/>
    <w:rsid w:val="001A7057"/>
    <w:rsid w:val="001A74B1"/>
    <w:rsid w:val="001B05E9"/>
    <w:rsid w:val="001F1470"/>
    <w:rsid w:val="00220D7E"/>
    <w:rsid w:val="002337B2"/>
    <w:rsid w:val="00276CB6"/>
    <w:rsid w:val="00277DB1"/>
    <w:rsid w:val="002862AB"/>
    <w:rsid w:val="002A1292"/>
    <w:rsid w:val="002A7EF0"/>
    <w:rsid w:val="002E2518"/>
    <w:rsid w:val="00304269"/>
    <w:rsid w:val="0030680F"/>
    <w:rsid w:val="00317C2A"/>
    <w:rsid w:val="00371773"/>
    <w:rsid w:val="003920DA"/>
    <w:rsid w:val="0039272A"/>
    <w:rsid w:val="003A5625"/>
    <w:rsid w:val="003A5891"/>
    <w:rsid w:val="004310C0"/>
    <w:rsid w:val="00436506"/>
    <w:rsid w:val="00446248"/>
    <w:rsid w:val="00452239"/>
    <w:rsid w:val="00455C54"/>
    <w:rsid w:val="00461877"/>
    <w:rsid w:val="0049027C"/>
    <w:rsid w:val="004A1CEC"/>
    <w:rsid w:val="004F1135"/>
    <w:rsid w:val="00505FC0"/>
    <w:rsid w:val="00515D6D"/>
    <w:rsid w:val="00535AEF"/>
    <w:rsid w:val="0054455B"/>
    <w:rsid w:val="00553AD6"/>
    <w:rsid w:val="00575C71"/>
    <w:rsid w:val="00591879"/>
    <w:rsid w:val="005B0598"/>
    <w:rsid w:val="005D1844"/>
    <w:rsid w:val="006419BA"/>
    <w:rsid w:val="00660AFE"/>
    <w:rsid w:val="0066513A"/>
    <w:rsid w:val="006764E7"/>
    <w:rsid w:val="006D7E86"/>
    <w:rsid w:val="006F6097"/>
    <w:rsid w:val="00716343"/>
    <w:rsid w:val="00752F5A"/>
    <w:rsid w:val="00780F0C"/>
    <w:rsid w:val="00782F69"/>
    <w:rsid w:val="007A1F36"/>
    <w:rsid w:val="007D0D66"/>
    <w:rsid w:val="007E6CAC"/>
    <w:rsid w:val="007F3B30"/>
    <w:rsid w:val="00850283"/>
    <w:rsid w:val="008A3EDE"/>
    <w:rsid w:val="008C21DD"/>
    <w:rsid w:val="008C666D"/>
    <w:rsid w:val="008E107B"/>
    <w:rsid w:val="008E17CC"/>
    <w:rsid w:val="008F762A"/>
    <w:rsid w:val="00944E04"/>
    <w:rsid w:val="00950CAB"/>
    <w:rsid w:val="0096244A"/>
    <w:rsid w:val="009777EC"/>
    <w:rsid w:val="00981D46"/>
    <w:rsid w:val="00990088"/>
    <w:rsid w:val="009A28C9"/>
    <w:rsid w:val="009B4422"/>
    <w:rsid w:val="009C7B0D"/>
    <w:rsid w:val="009E2681"/>
    <w:rsid w:val="009F1A35"/>
    <w:rsid w:val="00A02C56"/>
    <w:rsid w:val="00A116BB"/>
    <w:rsid w:val="00A15A87"/>
    <w:rsid w:val="00A351CC"/>
    <w:rsid w:val="00A35504"/>
    <w:rsid w:val="00AA4019"/>
    <w:rsid w:val="00AC03F2"/>
    <w:rsid w:val="00AC0B0D"/>
    <w:rsid w:val="00AE2562"/>
    <w:rsid w:val="00AE35FE"/>
    <w:rsid w:val="00AF30C5"/>
    <w:rsid w:val="00AF43C1"/>
    <w:rsid w:val="00B444DD"/>
    <w:rsid w:val="00B56246"/>
    <w:rsid w:val="00B565AE"/>
    <w:rsid w:val="00B70A6D"/>
    <w:rsid w:val="00B73D9A"/>
    <w:rsid w:val="00B74866"/>
    <w:rsid w:val="00B91292"/>
    <w:rsid w:val="00B92BAB"/>
    <w:rsid w:val="00B94BE9"/>
    <w:rsid w:val="00BB080C"/>
    <w:rsid w:val="00BB378A"/>
    <w:rsid w:val="00BD5730"/>
    <w:rsid w:val="00BF7DA7"/>
    <w:rsid w:val="00C20CD1"/>
    <w:rsid w:val="00C24AF3"/>
    <w:rsid w:val="00C32241"/>
    <w:rsid w:val="00C33CE7"/>
    <w:rsid w:val="00C568C2"/>
    <w:rsid w:val="00C8717D"/>
    <w:rsid w:val="00C92AB0"/>
    <w:rsid w:val="00CC307B"/>
    <w:rsid w:val="00CD1B1C"/>
    <w:rsid w:val="00CE484B"/>
    <w:rsid w:val="00D006C1"/>
    <w:rsid w:val="00D14591"/>
    <w:rsid w:val="00D16783"/>
    <w:rsid w:val="00D24DEE"/>
    <w:rsid w:val="00D26BBC"/>
    <w:rsid w:val="00D41C7C"/>
    <w:rsid w:val="00D87C21"/>
    <w:rsid w:val="00DA6D71"/>
    <w:rsid w:val="00DB2C8D"/>
    <w:rsid w:val="00DC2912"/>
    <w:rsid w:val="00DE1D19"/>
    <w:rsid w:val="00DF53B8"/>
    <w:rsid w:val="00E00A66"/>
    <w:rsid w:val="00E176C3"/>
    <w:rsid w:val="00E32EFB"/>
    <w:rsid w:val="00E33BA9"/>
    <w:rsid w:val="00E46527"/>
    <w:rsid w:val="00E52E9D"/>
    <w:rsid w:val="00E616F2"/>
    <w:rsid w:val="00E76B56"/>
    <w:rsid w:val="00E771A7"/>
    <w:rsid w:val="00E81149"/>
    <w:rsid w:val="00EB349F"/>
    <w:rsid w:val="00EF2D1A"/>
    <w:rsid w:val="00F02DD8"/>
    <w:rsid w:val="00F15334"/>
    <w:rsid w:val="00F20865"/>
    <w:rsid w:val="00F237CE"/>
    <w:rsid w:val="00F30757"/>
    <w:rsid w:val="00F3250F"/>
    <w:rsid w:val="00F56353"/>
    <w:rsid w:val="00F618E8"/>
    <w:rsid w:val="00F65402"/>
    <w:rsid w:val="00F7458B"/>
    <w:rsid w:val="00F84942"/>
    <w:rsid w:val="00F96050"/>
    <w:rsid w:val="00FE6ABC"/>
    <w:rsid w:val="00FE6EC3"/>
    <w:rsid w:val="01474FC8"/>
    <w:rsid w:val="01B1328D"/>
    <w:rsid w:val="0D4B6355"/>
    <w:rsid w:val="1DCB5B32"/>
    <w:rsid w:val="227F15BB"/>
    <w:rsid w:val="2B5127D9"/>
    <w:rsid w:val="2F6F2667"/>
    <w:rsid w:val="37D863AC"/>
    <w:rsid w:val="381B55BA"/>
    <w:rsid w:val="3A0E5015"/>
    <w:rsid w:val="404A01CB"/>
    <w:rsid w:val="46574CFA"/>
    <w:rsid w:val="49C94C4C"/>
    <w:rsid w:val="51246D53"/>
    <w:rsid w:val="53395E73"/>
    <w:rsid w:val="57285D44"/>
    <w:rsid w:val="578239F2"/>
    <w:rsid w:val="5EFD85F1"/>
    <w:rsid w:val="62400627"/>
    <w:rsid w:val="6C0A5AC5"/>
    <w:rsid w:val="6D676D66"/>
    <w:rsid w:val="7029765E"/>
    <w:rsid w:val="74511D12"/>
    <w:rsid w:val="765B61CF"/>
    <w:rsid w:val="7E4206FC"/>
    <w:rsid w:val="7F7FB892"/>
    <w:rsid w:val="7FFA8919"/>
    <w:rsid w:val="B97F882E"/>
    <w:rsid w:val="D3F6AE7B"/>
    <w:rsid w:val="EB9F6D44"/>
    <w:rsid w:val="FBCF43F9"/>
    <w:rsid w:val="FD7FB3B2"/>
    <w:rsid w:val="FEF73D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Calibri" w:hAnsi="Calibri" w:eastAsia="宋体" w:cs="Times New Roman"/>
      <w:sz w:val="30"/>
      <w:szCs w:val="30"/>
    </w:rPr>
  </w:style>
  <w:style w:type="paragraph" w:styleId="5">
    <w:name w:val="Body Text Indent"/>
    <w:basedOn w:val="1"/>
    <w:qFormat/>
    <w:uiPriority w:val="0"/>
    <w:pPr>
      <w:spacing w:line="460" w:lineRule="exact"/>
      <w:ind w:firstLine="640" w:firstLineChars="2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uiPriority w:val="0"/>
  </w:style>
  <w:style w:type="paragraph" w:customStyle="1" w:styleId="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 Char Char Char"/>
    <w:basedOn w:val="1"/>
    <w:uiPriority w:val="0"/>
    <w:pPr>
      <w:widowControl/>
      <w:adjustRightInd w:val="0"/>
      <w:snapToGrid w:val="0"/>
      <w:spacing w:line="800" w:lineRule="exact"/>
      <w:ind w:right="-111" w:firstLine="630" w:firstLineChars="196"/>
    </w:pPr>
    <w:rPr>
      <w:rFonts w:ascii="宋体" w:hAnsi="宋体" w:eastAsia="仿宋_GB2312" w:cs="Courier New"/>
      <w:b/>
      <w:sz w:val="32"/>
      <w:szCs w:val="32"/>
    </w:rPr>
  </w:style>
  <w:style w:type="character" w:customStyle="1" w:styleId="15">
    <w:name w:val="NormalCharacter"/>
    <w:semiHidden/>
    <w:qFormat/>
    <w:uiPriority w:val="0"/>
    <w:rPr>
      <w:rFonts w:ascii="Times New Roman" w:hAnsi="Times New Roman" w:eastAsia="宋体" w:cs="Times New Roman"/>
      <w:kern w:val="2"/>
      <w:sz w:val="21"/>
      <w:szCs w:val="22"/>
      <w:lang w:val="en-US" w:eastAsia="zh-CN" w:bidi="ar-SA"/>
    </w:r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bjsports</Company>
  <Pages>26</Pages>
  <Words>1648</Words>
  <Characters>9394</Characters>
  <Lines>78</Lines>
  <Paragraphs>22</Paragraphs>
  <TotalTime>3</TotalTime>
  <ScaleCrop>false</ScaleCrop>
  <LinksUpToDate>false</LinksUpToDate>
  <CharactersWithSpaces>11020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2021-06-24T04:32:00Z</dcterms:created>
  <dc:creator>bangongshi</dc:creator>
  <cp:lastModifiedBy>吃火锅的和尚</cp:lastModifiedBy>
  <cp:lastPrinted>2021-06-25T08:08:00Z</cp:lastPrinted>
  <dcterms:modified xsi:type="dcterms:W3CDTF">2021-06-29T23:58:11Z</dcterms:modified>
  <dc:subject>2012年版</dc:subject>
  <dc:title>北京市体育局文件-下行文121010</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CF6BC34EE8F5448195938F97C60BE0ED</vt:lpwstr>
  </property>
</Properties>
</file>